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6A" w:rsidRDefault="003311F3" w:rsidP="00CE438A">
      <w:pPr>
        <w:pStyle w:val="formul2"/>
        <w:spacing w:line="360" w:lineRule="auto"/>
        <w:ind w:left="7080"/>
        <w:rPr>
          <w:rFonts w:ascii="Arial" w:hAnsi="Arial" w:cs="Arial"/>
          <w:sz w:val="32"/>
          <w:szCs w:val="24"/>
          <w:u w:val="single"/>
          <w:lang w:val="it-IT"/>
        </w:rPr>
      </w:pPr>
      <w:r>
        <w:rPr>
          <w:rFonts w:ascii="Arial" w:hAnsi="Arial" w:cs="Arial"/>
          <w:sz w:val="32"/>
          <w:szCs w:val="24"/>
          <w:u w:val="single"/>
          <w:lang w:val="it-IT"/>
        </w:rPr>
        <w:t xml:space="preserve"> </w:t>
      </w:r>
      <w:r w:rsidR="00D41C1C" w:rsidRPr="00331C0D">
        <w:rPr>
          <w:rFonts w:ascii="Arial" w:hAnsi="Arial" w:cs="Arial"/>
          <w:sz w:val="32"/>
          <w:szCs w:val="24"/>
          <w:u w:val="single"/>
          <w:lang w:val="it-IT"/>
        </w:rPr>
        <w:t>R</w:t>
      </w:r>
      <w:r w:rsidR="002841A6" w:rsidRPr="00331C0D">
        <w:rPr>
          <w:rFonts w:ascii="Arial" w:hAnsi="Arial" w:cs="Arial"/>
          <w:sz w:val="32"/>
          <w:szCs w:val="24"/>
          <w:u w:val="single"/>
          <w:lang w:val="it-IT"/>
        </w:rPr>
        <w:t>.G.E</w:t>
      </w:r>
      <w:r w:rsidR="002E2918" w:rsidRPr="00331C0D">
        <w:rPr>
          <w:rFonts w:ascii="Arial" w:hAnsi="Arial" w:cs="Arial"/>
          <w:sz w:val="32"/>
          <w:szCs w:val="24"/>
          <w:u w:val="single"/>
          <w:lang w:val="it-IT"/>
        </w:rPr>
        <w:t>.</w:t>
      </w:r>
      <w:r w:rsidR="00471C9A">
        <w:rPr>
          <w:rFonts w:ascii="Arial" w:hAnsi="Arial" w:cs="Arial"/>
          <w:sz w:val="32"/>
          <w:szCs w:val="24"/>
          <w:u w:val="single"/>
          <w:lang w:val="it-IT"/>
        </w:rPr>
        <w:t xml:space="preserve"> </w:t>
      </w:r>
    </w:p>
    <w:p w:rsidR="003311F3" w:rsidRDefault="003311F3" w:rsidP="00CE438A">
      <w:pPr>
        <w:pStyle w:val="formul2"/>
        <w:spacing w:line="360" w:lineRule="auto"/>
        <w:ind w:left="6372" w:firstLine="708"/>
        <w:jc w:val="center"/>
        <w:rPr>
          <w:rFonts w:ascii="Arial" w:hAnsi="Arial" w:cs="Arial"/>
          <w:sz w:val="28"/>
          <w:szCs w:val="24"/>
          <w:lang w:val="it-IT"/>
        </w:rPr>
      </w:pPr>
    </w:p>
    <w:p w:rsidR="003311F3" w:rsidRPr="00712532" w:rsidRDefault="003311F3" w:rsidP="00CE438A">
      <w:pPr>
        <w:pStyle w:val="formul2"/>
        <w:spacing w:line="360" w:lineRule="auto"/>
        <w:ind w:left="6372" w:firstLine="708"/>
        <w:jc w:val="center"/>
        <w:rPr>
          <w:rFonts w:ascii="Arial" w:hAnsi="Arial" w:cs="Arial"/>
          <w:sz w:val="28"/>
          <w:szCs w:val="24"/>
          <w:lang w:val="it-IT"/>
        </w:rPr>
      </w:pPr>
    </w:p>
    <w:p w:rsidR="002841A6" w:rsidRDefault="00087EE9" w:rsidP="00CE438A">
      <w:pPr>
        <w:pStyle w:val="formul2"/>
        <w:spacing w:line="360" w:lineRule="auto"/>
        <w:ind w:left="2634" w:firstLine="198"/>
        <w:rPr>
          <w:rFonts w:ascii="Arial" w:hAnsi="Arial" w:cs="Arial"/>
          <w:sz w:val="24"/>
          <w:szCs w:val="24"/>
          <w:lang w:val="it-IT"/>
        </w:rPr>
      </w:pPr>
      <w:r w:rsidRPr="00D1250E">
        <w:rPr>
          <w:rFonts w:ascii="Arial" w:hAnsi="Arial" w:cs="Arial"/>
          <w:sz w:val="24"/>
          <w:szCs w:val="24"/>
          <w:lang w:val="it-IT"/>
        </w:rPr>
        <w:t>Giuramento dell’esperto</w:t>
      </w:r>
    </w:p>
    <w:p w:rsidR="002841A6" w:rsidRPr="00D1250E" w:rsidRDefault="002841A6" w:rsidP="00CE438A">
      <w:pPr>
        <w:pStyle w:val="formul2"/>
        <w:spacing w:line="360" w:lineRule="auto"/>
        <w:ind w:left="2634" w:firstLine="198"/>
        <w:rPr>
          <w:rFonts w:ascii="Arial" w:hAnsi="Arial" w:cs="Arial"/>
          <w:b w:val="0"/>
          <w:bCs w:val="0"/>
          <w:sz w:val="24"/>
          <w:szCs w:val="24"/>
          <w:lang w:val="it-IT"/>
        </w:rPr>
      </w:pPr>
    </w:p>
    <w:p w:rsidR="006761D1" w:rsidRDefault="007764E0" w:rsidP="00CE438A">
      <w:pPr>
        <w:pStyle w:val="formul4"/>
        <w:spacing w:line="360" w:lineRule="auto"/>
        <w:jc w:val="center"/>
        <w:rPr>
          <w:rFonts w:ascii="Arial" w:hAnsi="Arial" w:cs="Arial"/>
          <w:bCs/>
          <w:sz w:val="24"/>
          <w:szCs w:val="24"/>
          <w:lang w:val="it-IT"/>
        </w:rPr>
      </w:pPr>
      <w:r>
        <w:rPr>
          <w:rFonts w:ascii="Arial" w:hAnsi="Arial" w:cs="Arial"/>
          <w:bCs/>
          <w:sz w:val="24"/>
          <w:szCs w:val="24"/>
          <w:lang w:val="it-IT"/>
        </w:rPr>
        <w:t>TRIBUNALE ORDINARIO DI</w:t>
      </w:r>
      <w:r w:rsidR="006761D1">
        <w:rPr>
          <w:rFonts w:ascii="Arial" w:hAnsi="Arial" w:cs="Arial"/>
          <w:bCs/>
          <w:sz w:val="24"/>
          <w:szCs w:val="24"/>
          <w:lang w:val="it-IT"/>
        </w:rPr>
        <w:t xml:space="preserve"> VERCELLI</w:t>
      </w:r>
    </w:p>
    <w:p w:rsidR="000F3991" w:rsidRDefault="00087EE9" w:rsidP="00CE438A">
      <w:pPr>
        <w:pStyle w:val="formul4"/>
        <w:spacing w:line="360" w:lineRule="auto"/>
        <w:jc w:val="center"/>
        <w:rPr>
          <w:rFonts w:ascii="Arial" w:hAnsi="Arial" w:cs="Arial"/>
          <w:sz w:val="24"/>
          <w:szCs w:val="24"/>
          <w:lang w:val="it-IT"/>
        </w:rPr>
      </w:pPr>
      <w:r w:rsidRPr="00D1250E">
        <w:rPr>
          <w:rFonts w:ascii="Arial" w:hAnsi="Arial" w:cs="Arial"/>
          <w:sz w:val="24"/>
          <w:szCs w:val="24"/>
          <w:lang w:val="it-IT"/>
        </w:rPr>
        <w:t>VERBALE D’UDIENZA</w:t>
      </w:r>
    </w:p>
    <w:p w:rsidR="00087EE9" w:rsidRPr="00D1250E" w:rsidRDefault="00087EE9" w:rsidP="00CE438A">
      <w:pPr>
        <w:pStyle w:val="formul4"/>
        <w:spacing w:line="360" w:lineRule="auto"/>
        <w:rPr>
          <w:rFonts w:ascii="Arial" w:hAnsi="Arial" w:cs="Arial"/>
          <w:sz w:val="24"/>
          <w:szCs w:val="24"/>
          <w:lang w:val="it-IT"/>
        </w:rPr>
      </w:pPr>
    </w:p>
    <w:p w:rsidR="006761D1" w:rsidRDefault="00087EE9" w:rsidP="00CE438A">
      <w:pPr>
        <w:pStyle w:val="formul4"/>
        <w:spacing w:after="240" w:line="360" w:lineRule="auto"/>
        <w:rPr>
          <w:rFonts w:ascii="Arial" w:hAnsi="Arial" w:cs="Arial"/>
          <w:sz w:val="24"/>
          <w:szCs w:val="24"/>
          <w:lang w:val="it-IT"/>
        </w:rPr>
      </w:pPr>
      <w:r w:rsidRPr="00D1250E">
        <w:rPr>
          <w:rFonts w:ascii="Arial" w:hAnsi="Arial" w:cs="Arial"/>
          <w:sz w:val="24"/>
          <w:szCs w:val="24"/>
          <w:lang w:val="it-IT"/>
        </w:rPr>
        <w:t xml:space="preserve">L’anno </w:t>
      </w:r>
      <w:r w:rsidR="00307C26">
        <w:rPr>
          <w:rFonts w:ascii="Arial" w:hAnsi="Arial" w:cs="Arial"/>
          <w:sz w:val="24"/>
          <w:szCs w:val="24"/>
          <w:lang w:val="it-IT"/>
        </w:rPr>
        <w:t>201</w:t>
      </w:r>
      <w:r w:rsidR="00AA2103">
        <w:rPr>
          <w:rFonts w:ascii="Arial" w:hAnsi="Arial" w:cs="Arial"/>
          <w:sz w:val="24"/>
          <w:szCs w:val="24"/>
          <w:lang w:val="it-IT"/>
        </w:rPr>
        <w:t>9</w:t>
      </w:r>
      <w:r w:rsidR="007D18FC">
        <w:rPr>
          <w:rFonts w:ascii="Arial" w:hAnsi="Arial" w:cs="Arial"/>
          <w:sz w:val="24"/>
          <w:szCs w:val="24"/>
          <w:lang w:val="it-IT"/>
        </w:rPr>
        <w:t xml:space="preserve">, il giorno </w:t>
      </w:r>
      <w:r w:rsidR="00443593">
        <w:rPr>
          <w:rFonts w:ascii="Arial" w:hAnsi="Arial" w:cs="Arial"/>
          <w:sz w:val="24"/>
          <w:szCs w:val="24"/>
          <w:lang w:val="it-IT"/>
        </w:rPr>
        <w:softHyphen/>
      </w:r>
      <w:r w:rsidR="00443593">
        <w:rPr>
          <w:rFonts w:ascii="Arial" w:hAnsi="Arial" w:cs="Arial"/>
          <w:sz w:val="24"/>
          <w:szCs w:val="24"/>
          <w:lang w:val="it-IT"/>
        </w:rPr>
        <w:softHyphen/>
      </w:r>
      <w:r w:rsidR="00443593">
        <w:rPr>
          <w:rFonts w:ascii="Arial" w:hAnsi="Arial" w:cs="Arial"/>
          <w:sz w:val="24"/>
          <w:szCs w:val="24"/>
          <w:lang w:val="it-IT"/>
        </w:rPr>
        <w:softHyphen/>
      </w:r>
      <w:r w:rsidR="00443593">
        <w:rPr>
          <w:rFonts w:ascii="Arial" w:hAnsi="Arial" w:cs="Arial"/>
          <w:sz w:val="24"/>
          <w:szCs w:val="24"/>
          <w:u w:val="single"/>
          <w:lang w:val="it-IT"/>
        </w:rPr>
        <w:t xml:space="preserve">   </w:t>
      </w:r>
      <w:r w:rsidRPr="00D1250E">
        <w:rPr>
          <w:rFonts w:ascii="Arial" w:hAnsi="Arial" w:cs="Arial"/>
          <w:sz w:val="24"/>
          <w:szCs w:val="24"/>
          <w:lang w:val="it-IT"/>
        </w:rPr>
        <w:t xml:space="preserve"> del mese</w:t>
      </w:r>
      <w:r w:rsidR="00492669">
        <w:rPr>
          <w:rFonts w:ascii="Arial" w:hAnsi="Arial" w:cs="Arial"/>
          <w:sz w:val="24"/>
          <w:szCs w:val="24"/>
          <w:lang w:val="it-IT"/>
        </w:rPr>
        <w:t xml:space="preserve"> di</w:t>
      </w:r>
      <w:r w:rsidRPr="00D1250E">
        <w:rPr>
          <w:rFonts w:ascii="Arial" w:hAnsi="Arial" w:cs="Arial"/>
          <w:sz w:val="24"/>
          <w:szCs w:val="24"/>
          <w:lang w:val="it-IT"/>
        </w:rPr>
        <w:t xml:space="preserve"> </w:t>
      </w:r>
      <w:r w:rsidR="00443593">
        <w:rPr>
          <w:rFonts w:ascii="Arial" w:hAnsi="Arial" w:cs="Arial"/>
          <w:sz w:val="24"/>
          <w:szCs w:val="24"/>
          <w:lang w:val="it-IT"/>
        </w:rPr>
        <w:t xml:space="preserve"> </w:t>
      </w:r>
      <w:r w:rsidR="00443593">
        <w:rPr>
          <w:rFonts w:ascii="Arial" w:hAnsi="Arial" w:cs="Arial"/>
          <w:sz w:val="24"/>
          <w:szCs w:val="24"/>
          <w:u w:val="single"/>
          <w:lang w:val="it-IT"/>
        </w:rPr>
        <w:t xml:space="preserve">          </w:t>
      </w:r>
      <w:r w:rsidR="00B76A7B">
        <w:rPr>
          <w:rFonts w:ascii="Arial" w:hAnsi="Arial" w:cs="Arial"/>
          <w:sz w:val="24"/>
          <w:szCs w:val="24"/>
          <w:lang w:val="it-IT"/>
        </w:rPr>
        <w:t xml:space="preserve"> </w:t>
      </w:r>
      <w:r w:rsidRPr="00D1250E">
        <w:rPr>
          <w:rFonts w:ascii="Arial" w:hAnsi="Arial" w:cs="Arial"/>
          <w:sz w:val="24"/>
          <w:szCs w:val="24"/>
          <w:lang w:val="it-IT"/>
        </w:rPr>
        <w:t xml:space="preserve">alle ore </w:t>
      </w:r>
      <w:r w:rsidR="00307C26">
        <w:rPr>
          <w:rFonts w:ascii="Arial" w:hAnsi="Arial" w:cs="Arial"/>
          <w:sz w:val="24"/>
          <w:szCs w:val="24"/>
          <w:lang w:val="it-IT"/>
        </w:rPr>
        <w:t>9.00</w:t>
      </w:r>
      <w:r w:rsidRPr="00D1250E">
        <w:rPr>
          <w:rFonts w:ascii="Arial" w:hAnsi="Arial" w:cs="Arial"/>
          <w:sz w:val="24"/>
          <w:szCs w:val="24"/>
          <w:lang w:val="it-IT"/>
        </w:rPr>
        <w:t xml:space="preserve"> innanzi al </w:t>
      </w:r>
      <w:r w:rsidR="00B54F86" w:rsidRPr="00284C9E">
        <w:rPr>
          <w:rFonts w:ascii="Arial" w:hAnsi="Arial" w:cs="Arial"/>
          <w:sz w:val="24"/>
          <w:szCs w:val="24"/>
          <w:lang w:val="it-IT"/>
        </w:rPr>
        <w:t>cancelliere</w:t>
      </w:r>
      <w:r w:rsidR="000623F6">
        <w:rPr>
          <w:rFonts w:ascii="Arial" w:hAnsi="Arial" w:cs="Arial"/>
          <w:sz w:val="24"/>
          <w:szCs w:val="24"/>
          <w:lang w:val="it-IT"/>
        </w:rPr>
        <w:t xml:space="preserve"> Dr.</w:t>
      </w:r>
      <w:r w:rsidR="00284C9E" w:rsidRPr="00284C9E">
        <w:rPr>
          <w:rFonts w:ascii="Arial" w:hAnsi="Arial" w:cs="Arial"/>
          <w:sz w:val="24"/>
          <w:szCs w:val="24"/>
          <w:lang w:val="it-IT"/>
        </w:rPr>
        <w:t xml:space="preserve"> Calogero Anselmo</w:t>
      </w:r>
      <w:r w:rsidR="000623F6">
        <w:rPr>
          <w:rFonts w:ascii="Arial" w:hAnsi="Arial" w:cs="Arial"/>
          <w:sz w:val="24"/>
          <w:szCs w:val="24"/>
          <w:lang w:val="it-IT"/>
        </w:rPr>
        <w:t>,</w:t>
      </w:r>
      <w:r w:rsidR="00284C9E" w:rsidRPr="00284C9E">
        <w:rPr>
          <w:rFonts w:ascii="Arial" w:hAnsi="Arial" w:cs="Arial"/>
          <w:sz w:val="24"/>
          <w:szCs w:val="24"/>
          <w:lang w:val="it-IT"/>
        </w:rPr>
        <w:t xml:space="preserve"> </w:t>
      </w:r>
      <w:r w:rsidR="00105DEA">
        <w:rPr>
          <w:rFonts w:ascii="Arial" w:hAnsi="Arial" w:cs="Arial"/>
          <w:sz w:val="24"/>
          <w:szCs w:val="24"/>
          <w:lang w:val="it-IT"/>
        </w:rPr>
        <w:t>è compars</w:t>
      </w:r>
      <w:r w:rsidR="006727CF">
        <w:rPr>
          <w:rFonts w:ascii="Arial" w:hAnsi="Arial" w:cs="Arial"/>
          <w:sz w:val="24"/>
          <w:szCs w:val="24"/>
          <w:lang w:val="it-IT"/>
        </w:rPr>
        <w:t>o</w:t>
      </w:r>
      <w:r w:rsidR="00443593">
        <w:rPr>
          <w:rFonts w:ascii="Arial" w:hAnsi="Arial" w:cs="Arial"/>
          <w:sz w:val="24"/>
          <w:szCs w:val="24"/>
          <w:u w:val="single"/>
          <w:lang w:val="it-IT"/>
        </w:rPr>
        <w:t xml:space="preserve">                      </w:t>
      </w:r>
      <w:r w:rsidR="00154B7B">
        <w:rPr>
          <w:rFonts w:ascii="Arial" w:hAnsi="Arial" w:cs="Arial"/>
          <w:sz w:val="24"/>
          <w:szCs w:val="24"/>
          <w:lang w:val="it-IT"/>
        </w:rPr>
        <w:t xml:space="preserve"> </w:t>
      </w:r>
      <w:r w:rsidRPr="00D1250E">
        <w:rPr>
          <w:rFonts w:ascii="Arial" w:hAnsi="Arial" w:cs="Arial"/>
          <w:sz w:val="24"/>
          <w:szCs w:val="24"/>
          <w:lang w:val="it-IT"/>
        </w:rPr>
        <w:t>nominato esperto stimatore</w:t>
      </w:r>
      <w:r w:rsidR="006761D1">
        <w:rPr>
          <w:rFonts w:ascii="Arial" w:hAnsi="Arial" w:cs="Arial"/>
          <w:sz w:val="24"/>
          <w:szCs w:val="24"/>
          <w:lang w:val="it-IT"/>
        </w:rPr>
        <w:t xml:space="preserve"> nella procedura sopra indicata</w:t>
      </w:r>
    </w:p>
    <w:p w:rsidR="00087EE9" w:rsidRPr="00D1250E" w:rsidRDefault="00087EE9" w:rsidP="00CE438A">
      <w:pPr>
        <w:pStyle w:val="formul4"/>
        <w:spacing w:after="240" w:line="360" w:lineRule="auto"/>
        <w:rPr>
          <w:rFonts w:ascii="Arial" w:hAnsi="Arial" w:cs="Arial"/>
          <w:sz w:val="24"/>
          <w:szCs w:val="24"/>
          <w:lang w:val="it-IT"/>
        </w:rPr>
      </w:pPr>
      <w:r w:rsidRPr="00D1250E">
        <w:rPr>
          <w:rFonts w:ascii="Arial" w:hAnsi="Arial" w:cs="Arial"/>
          <w:sz w:val="24"/>
          <w:szCs w:val="24"/>
          <w:lang w:val="it-IT"/>
        </w:rPr>
        <w:t xml:space="preserve">Il </w:t>
      </w:r>
      <w:r w:rsidR="00093169">
        <w:rPr>
          <w:rFonts w:ascii="Arial" w:hAnsi="Arial" w:cs="Arial"/>
          <w:sz w:val="24"/>
          <w:szCs w:val="24"/>
          <w:lang w:val="it-IT"/>
        </w:rPr>
        <w:t>cancelliere</w:t>
      </w:r>
      <w:r w:rsidR="006761D1">
        <w:rPr>
          <w:rFonts w:ascii="Arial" w:hAnsi="Arial" w:cs="Arial"/>
          <w:sz w:val="24"/>
          <w:szCs w:val="24"/>
          <w:lang w:val="it-IT"/>
        </w:rPr>
        <w:t xml:space="preserve"> </w:t>
      </w:r>
      <w:r w:rsidRPr="00D1250E">
        <w:rPr>
          <w:rFonts w:ascii="Arial" w:hAnsi="Arial" w:cs="Arial"/>
          <w:sz w:val="24"/>
          <w:szCs w:val="24"/>
          <w:lang w:val="it-IT"/>
        </w:rPr>
        <w:t>invita l’esperto a prestare giuramento.</w:t>
      </w:r>
    </w:p>
    <w:p w:rsidR="00087EE9" w:rsidRPr="00D1250E" w:rsidRDefault="00087EE9" w:rsidP="00CE438A">
      <w:pPr>
        <w:pStyle w:val="formul4"/>
        <w:keepNext/>
        <w:spacing w:after="240" w:line="360" w:lineRule="auto"/>
        <w:rPr>
          <w:rFonts w:ascii="Arial" w:hAnsi="Arial" w:cs="Arial"/>
          <w:sz w:val="24"/>
          <w:szCs w:val="24"/>
          <w:lang w:val="it-IT"/>
        </w:rPr>
      </w:pPr>
      <w:r w:rsidRPr="00D1250E">
        <w:rPr>
          <w:rFonts w:ascii="Arial" w:hAnsi="Arial" w:cs="Arial"/>
          <w:sz w:val="24"/>
          <w:szCs w:val="24"/>
          <w:lang w:val="it-IT"/>
        </w:rPr>
        <w:t>L’esperto dichiara:</w:t>
      </w:r>
    </w:p>
    <w:p w:rsidR="009A5B51" w:rsidRDefault="00443593" w:rsidP="00CE438A">
      <w:pPr>
        <w:pStyle w:val="formul4"/>
        <w:spacing w:before="120" w:line="360" w:lineRule="auto"/>
        <w:rPr>
          <w:rFonts w:ascii="Arial" w:hAnsi="Arial" w:cs="Arial"/>
          <w:sz w:val="24"/>
          <w:szCs w:val="24"/>
          <w:lang w:val="it-IT"/>
        </w:rPr>
      </w:pPr>
      <w:r>
        <w:rPr>
          <w:rFonts w:ascii="Arial" w:hAnsi="Arial" w:cs="Arial"/>
          <w:i/>
          <w:iCs/>
          <w:sz w:val="24"/>
          <w:szCs w:val="24"/>
          <w:lang w:val="it-IT"/>
        </w:rPr>
        <w:t xml:space="preserve">“Sono e mi chiamo </w:t>
      </w:r>
      <w:r>
        <w:rPr>
          <w:rFonts w:ascii="Arial" w:hAnsi="Arial" w:cs="Arial"/>
          <w:i/>
          <w:iCs/>
          <w:sz w:val="24"/>
          <w:szCs w:val="24"/>
          <w:u w:val="single"/>
          <w:lang w:val="it-IT"/>
        </w:rPr>
        <w:t xml:space="preserve">         </w:t>
      </w:r>
      <w:r>
        <w:rPr>
          <w:rFonts w:ascii="Arial" w:hAnsi="Arial" w:cs="Arial"/>
          <w:i/>
          <w:iCs/>
          <w:sz w:val="24"/>
          <w:szCs w:val="24"/>
          <w:lang w:val="it-IT"/>
        </w:rPr>
        <w:t xml:space="preserve"> </w:t>
      </w:r>
      <w:r w:rsidR="000A0D86">
        <w:rPr>
          <w:rFonts w:ascii="Arial" w:hAnsi="Arial" w:cs="Arial"/>
          <w:i/>
          <w:iCs/>
          <w:sz w:val="24"/>
          <w:szCs w:val="24"/>
          <w:lang w:val="it-IT"/>
        </w:rPr>
        <w:t>nato</w:t>
      </w:r>
      <w:r w:rsidR="000A0D86" w:rsidRPr="00D1250E">
        <w:rPr>
          <w:rFonts w:ascii="Arial" w:hAnsi="Arial" w:cs="Arial"/>
          <w:i/>
          <w:iCs/>
          <w:sz w:val="24"/>
          <w:szCs w:val="24"/>
          <w:lang w:val="it-IT"/>
        </w:rPr>
        <w:t xml:space="preserve"> a</w:t>
      </w:r>
      <w:r w:rsidR="00FB4A12">
        <w:rPr>
          <w:rFonts w:ascii="Arial" w:hAnsi="Arial" w:cs="Arial"/>
          <w:i/>
          <w:iCs/>
          <w:sz w:val="24"/>
          <w:szCs w:val="24"/>
          <w:lang w:val="it-IT"/>
        </w:rPr>
        <w:t xml:space="preserve"> Vercelli</w:t>
      </w:r>
      <w:r w:rsidR="000A0D86">
        <w:rPr>
          <w:rFonts w:ascii="Arial" w:hAnsi="Arial" w:cs="Arial"/>
          <w:i/>
          <w:iCs/>
          <w:sz w:val="24"/>
          <w:szCs w:val="24"/>
          <w:lang w:val="it-IT"/>
        </w:rPr>
        <w:t xml:space="preserve"> il </w:t>
      </w:r>
      <w:r>
        <w:rPr>
          <w:rFonts w:ascii="Arial" w:hAnsi="Arial" w:cs="Arial"/>
          <w:i/>
          <w:iCs/>
          <w:sz w:val="24"/>
          <w:szCs w:val="24"/>
          <w:u w:val="single"/>
          <w:lang w:val="it-IT"/>
        </w:rPr>
        <w:t xml:space="preserve">                  </w:t>
      </w:r>
      <w:r w:rsidR="00FB4A12">
        <w:rPr>
          <w:rFonts w:ascii="Arial" w:hAnsi="Arial" w:cs="Arial"/>
          <w:i/>
          <w:iCs/>
          <w:sz w:val="24"/>
          <w:szCs w:val="24"/>
          <w:lang w:val="it-IT"/>
        </w:rPr>
        <w:t xml:space="preserve"> </w:t>
      </w:r>
      <w:r w:rsidR="00E361F3">
        <w:rPr>
          <w:rFonts w:ascii="Arial" w:hAnsi="Arial" w:cs="Arial"/>
          <w:i/>
          <w:iCs/>
          <w:sz w:val="24"/>
          <w:szCs w:val="24"/>
          <w:lang w:val="it-IT"/>
        </w:rPr>
        <w:t xml:space="preserve">con studio in </w:t>
      </w:r>
      <w:r w:rsidR="00FB4A12">
        <w:rPr>
          <w:rFonts w:ascii="Arial" w:hAnsi="Arial" w:cs="Arial"/>
          <w:i/>
          <w:iCs/>
          <w:sz w:val="24"/>
          <w:szCs w:val="24"/>
          <w:lang w:val="it-IT"/>
        </w:rPr>
        <w:t>Vercelli</w:t>
      </w:r>
      <w:r w:rsidR="000A0D86">
        <w:rPr>
          <w:rFonts w:ascii="Arial" w:hAnsi="Arial" w:cs="Arial"/>
          <w:i/>
          <w:iCs/>
          <w:sz w:val="24"/>
          <w:szCs w:val="24"/>
          <w:lang w:val="it-IT"/>
        </w:rPr>
        <w:t xml:space="preserve"> Telefono </w:t>
      </w:r>
      <w:r w:rsidR="00E361F3">
        <w:rPr>
          <w:rFonts w:ascii="Arial" w:hAnsi="Arial" w:cs="Arial"/>
          <w:i/>
          <w:iCs/>
          <w:sz w:val="24"/>
          <w:szCs w:val="24"/>
          <w:lang w:val="it-IT"/>
        </w:rPr>
        <w:t>__________</w:t>
      </w:r>
      <w:r w:rsidR="000A0D86">
        <w:rPr>
          <w:rFonts w:ascii="Arial" w:hAnsi="Arial" w:cs="Arial"/>
          <w:i/>
          <w:iCs/>
          <w:sz w:val="24"/>
          <w:szCs w:val="24"/>
          <w:lang w:val="it-IT"/>
        </w:rPr>
        <w:t xml:space="preserve"> Fax </w:t>
      </w:r>
      <w:r w:rsidR="006065DC">
        <w:rPr>
          <w:rFonts w:ascii="Arial" w:hAnsi="Arial" w:cs="Arial"/>
          <w:i/>
          <w:iCs/>
          <w:sz w:val="24"/>
          <w:szCs w:val="24"/>
          <w:lang w:val="it-IT"/>
        </w:rPr>
        <w:t>__________</w:t>
      </w:r>
      <w:r w:rsidR="000A0D86">
        <w:rPr>
          <w:rFonts w:ascii="Arial" w:hAnsi="Arial" w:cs="Arial"/>
          <w:i/>
          <w:iCs/>
          <w:sz w:val="24"/>
          <w:szCs w:val="24"/>
          <w:lang w:val="it-IT"/>
        </w:rPr>
        <w:t xml:space="preserve"> email </w:t>
      </w:r>
      <w:r w:rsidR="00B04950">
        <w:rPr>
          <w:rFonts w:ascii="Arial" w:hAnsi="Arial" w:cs="Arial"/>
          <w:i/>
          <w:sz w:val="24"/>
          <w:szCs w:val="24"/>
          <w:lang w:val="it-IT"/>
        </w:rPr>
        <w:t>_________________________</w:t>
      </w:r>
      <w:r w:rsidR="000A0D86">
        <w:rPr>
          <w:rFonts w:ascii="Arial" w:hAnsi="Arial" w:cs="Arial"/>
          <w:i/>
          <w:iCs/>
          <w:sz w:val="24"/>
          <w:szCs w:val="24"/>
          <w:lang w:val="it-IT"/>
        </w:rPr>
        <w:t xml:space="preserve"> </w:t>
      </w:r>
      <w:r w:rsidR="000A0D86" w:rsidRPr="002E4030">
        <w:rPr>
          <w:rFonts w:ascii="Arial" w:hAnsi="Arial" w:cs="Arial"/>
          <w:i/>
          <w:sz w:val="24"/>
          <w:szCs w:val="24"/>
          <w:lang w:val="it-IT"/>
        </w:rPr>
        <w:t>i</w:t>
      </w:r>
      <w:r w:rsidR="000A0D86" w:rsidRPr="00D1250E">
        <w:rPr>
          <w:rFonts w:ascii="Arial" w:hAnsi="Arial" w:cs="Arial"/>
          <w:i/>
          <w:sz w:val="24"/>
          <w:szCs w:val="24"/>
          <w:lang w:val="it-IT"/>
        </w:rPr>
        <w:t xml:space="preserve">ndirizzo </w:t>
      </w:r>
      <w:r>
        <w:rPr>
          <w:rFonts w:ascii="Arial" w:hAnsi="Arial" w:cs="Arial"/>
          <w:i/>
          <w:sz w:val="24"/>
          <w:szCs w:val="24"/>
          <w:u w:val="single"/>
          <w:lang w:val="it-IT"/>
        </w:rPr>
        <w:t xml:space="preserve">                  </w:t>
      </w:r>
      <w:r>
        <w:rPr>
          <w:rFonts w:ascii="Arial" w:hAnsi="Arial" w:cs="Arial"/>
          <w:i/>
          <w:sz w:val="24"/>
          <w:szCs w:val="24"/>
          <w:lang w:val="it-IT"/>
        </w:rPr>
        <w:t xml:space="preserve"> </w:t>
      </w:r>
      <w:r w:rsidR="000A0D86" w:rsidRPr="00D1250E">
        <w:rPr>
          <w:rFonts w:ascii="Arial" w:hAnsi="Arial" w:cs="Arial"/>
          <w:i/>
          <w:sz w:val="24"/>
          <w:szCs w:val="24"/>
          <w:lang w:val="it-IT"/>
        </w:rPr>
        <w:t>PEC comunicato al proprio ordine</w:t>
      </w:r>
      <w:r w:rsidR="00FB4A12">
        <w:rPr>
          <w:rFonts w:ascii="Arial" w:hAnsi="Arial" w:cs="Arial"/>
          <w:sz w:val="24"/>
          <w:szCs w:val="24"/>
          <w:lang w:val="it-IT"/>
        </w:rPr>
        <w:t xml:space="preserve"> </w:t>
      </w:r>
      <w:r w:rsidR="009A5B51" w:rsidRPr="00D1250E">
        <w:rPr>
          <w:rFonts w:ascii="Arial" w:hAnsi="Arial" w:cs="Arial"/>
          <w:sz w:val="24"/>
          <w:szCs w:val="24"/>
          <w:lang w:val="it-IT"/>
        </w:rPr>
        <w:t>e presta giuramento secondo la formula di rito pronunciando le parole: “</w:t>
      </w:r>
      <w:r w:rsidR="009A5B51" w:rsidRPr="00D1250E">
        <w:rPr>
          <w:rFonts w:ascii="Arial" w:hAnsi="Arial" w:cs="Arial"/>
          <w:i/>
          <w:iCs/>
          <w:sz w:val="24"/>
          <w:szCs w:val="24"/>
          <w:lang w:val="it-IT"/>
        </w:rPr>
        <w:t>Giuro di bene e fedelmente adempiere alle operazioni affidatemi</w:t>
      </w:r>
      <w:r w:rsidR="009A5B51" w:rsidRPr="00D1250E">
        <w:rPr>
          <w:rFonts w:ascii="Arial" w:hAnsi="Arial" w:cs="Arial"/>
          <w:sz w:val="24"/>
          <w:szCs w:val="24"/>
          <w:lang w:val="it-IT"/>
        </w:rPr>
        <w:t>”,</w:t>
      </w:r>
    </w:p>
    <w:p w:rsidR="00F1475A" w:rsidRPr="00D1250E" w:rsidRDefault="00F1475A" w:rsidP="00CE438A">
      <w:pPr>
        <w:pStyle w:val="formul4"/>
        <w:spacing w:line="360" w:lineRule="auto"/>
        <w:rPr>
          <w:rFonts w:ascii="Arial" w:hAnsi="Arial" w:cs="Arial"/>
          <w:sz w:val="24"/>
          <w:szCs w:val="24"/>
          <w:lang w:val="it-IT"/>
        </w:rPr>
      </w:pPr>
    </w:p>
    <w:p w:rsidR="00087EE9" w:rsidRDefault="00087EE9" w:rsidP="00CE438A">
      <w:pPr>
        <w:pStyle w:val="formul4"/>
        <w:spacing w:line="360" w:lineRule="auto"/>
        <w:rPr>
          <w:rFonts w:ascii="Arial" w:hAnsi="Arial" w:cs="Arial"/>
          <w:sz w:val="24"/>
          <w:szCs w:val="24"/>
          <w:lang w:val="it-IT"/>
        </w:rPr>
      </w:pPr>
      <w:r w:rsidRPr="00D1250E">
        <w:rPr>
          <w:rFonts w:ascii="Arial" w:hAnsi="Arial" w:cs="Arial"/>
          <w:sz w:val="24"/>
          <w:szCs w:val="24"/>
          <w:lang w:val="it-IT"/>
        </w:rPr>
        <w:t>L.c.s. .................................................................................................</w:t>
      </w:r>
    </w:p>
    <w:p w:rsidR="00F1475A" w:rsidRPr="00D1250E" w:rsidRDefault="00F1475A" w:rsidP="00CE438A">
      <w:pPr>
        <w:pStyle w:val="formul4"/>
        <w:spacing w:line="360" w:lineRule="auto"/>
        <w:rPr>
          <w:rFonts w:ascii="Arial" w:hAnsi="Arial" w:cs="Arial"/>
          <w:sz w:val="24"/>
          <w:szCs w:val="24"/>
          <w:lang w:val="it-IT"/>
        </w:rPr>
      </w:pPr>
    </w:p>
    <w:p w:rsidR="00080ED4" w:rsidRDefault="00087EE9" w:rsidP="00CE438A">
      <w:pPr>
        <w:pStyle w:val="formul4"/>
        <w:spacing w:line="360" w:lineRule="auto"/>
        <w:rPr>
          <w:rFonts w:ascii="Arial" w:hAnsi="Arial" w:cs="Arial"/>
          <w:sz w:val="24"/>
          <w:szCs w:val="24"/>
          <w:lang w:val="it-IT"/>
        </w:rPr>
      </w:pPr>
      <w:r w:rsidRPr="00D1250E">
        <w:rPr>
          <w:rFonts w:ascii="Arial" w:hAnsi="Arial" w:cs="Arial"/>
          <w:sz w:val="24"/>
          <w:szCs w:val="24"/>
          <w:lang w:val="it-IT"/>
        </w:rPr>
        <w:t xml:space="preserve">Il </w:t>
      </w:r>
      <w:r w:rsidR="00093169">
        <w:rPr>
          <w:rFonts w:ascii="Arial" w:hAnsi="Arial" w:cs="Arial"/>
          <w:sz w:val="24"/>
          <w:szCs w:val="24"/>
          <w:lang w:val="it-IT"/>
        </w:rPr>
        <w:t>cancelliere</w:t>
      </w:r>
      <w:r w:rsidRPr="00D1250E">
        <w:rPr>
          <w:rFonts w:ascii="Arial" w:hAnsi="Arial" w:cs="Arial"/>
          <w:sz w:val="24"/>
          <w:szCs w:val="24"/>
          <w:lang w:val="it-IT"/>
        </w:rPr>
        <w:t xml:space="preserve"> affida all’esperto l’incarico ponendo i seguenti quesiti:</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“Esaminati gli atti della procedura ed eseguita ogni altra operazione ritenuta necessaria, </w:t>
      </w:r>
      <w:r w:rsidRPr="00CE438A">
        <w:rPr>
          <w:rFonts w:ascii="Arial" w:hAnsi="Arial" w:cs="Arial"/>
          <w:u w:val="single"/>
        </w:rPr>
        <w:t>proceda l’esperto in primo luogo al controllo della completezza della documentazione di cui all’articolo 567, secondo comma, del codice di procedura civile</w:t>
      </w:r>
      <w:r w:rsidRPr="00CE438A">
        <w:rPr>
          <w:rFonts w:ascii="Arial" w:hAnsi="Arial" w:cs="Arial"/>
        </w:rPr>
        <w:t>, segnalando immediatamente al giudice quelli mancanti o inidonei.     In particolare, l’esperto deve precisare :</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 se il creditore procedente abbia optato per il deposito dei certificati della Conservatoria dei RR.II. sulle iscrizioni e trascrizioni gravanti sul bene pignorato;</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oppure: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 se il creditore procedente abbia optato per il deposito di certificazione notarile sostitutiva.</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w:t>
      </w:r>
      <w:r w:rsidRPr="00CE438A">
        <w:rPr>
          <w:rFonts w:ascii="Arial" w:hAnsi="Arial" w:cs="Arial"/>
          <w:u w:val="dotted"/>
        </w:rPr>
        <w:t xml:space="preserve"> Nel primo caso</w:t>
      </w:r>
      <w:r w:rsidRPr="00CE438A">
        <w:rPr>
          <w:rFonts w:ascii="Arial" w:hAnsi="Arial" w:cs="Arial"/>
        </w:rPr>
        <w:t xml:space="preserve"> (certificati delle iscrizioni e trascrizioni), l’esperto deve precisare in riferimento a ciascuno degli immobili pignorati:</w:t>
      </w:r>
    </w:p>
    <w:p w:rsidR="00CE438A" w:rsidRPr="00CE438A" w:rsidRDefault="00CE438A" w:rsidP="00CE438A">
      <w:pPr>
        <w:pStyle w:val="formul4"/>
        <w:spacing w:line="360" w:lineRule="auto"/>
        <w:rPr>
          <w:rFonts w:ascii="Arial" w:hAnsi="Arial" w:cs="Arial"/>
        </w:rPr>
      </w:pPr>
      <w:r w:rsidRPr="00CE438A">
        <w:rPr>
          <w:rFonts w:ascii="Arial" w:hAnsi="Arial" w:cs="Arial"/>
        </w:rPr>
        <w:t>•</w:t>
      </w:r>
      <w:r w:rsidRPr="00CE438A">
        <w:rPr>
          <w:rFonts w:ascii="Arial" w:hAnsi="Arial" w:cs="Arial"/>
        </w:rPr>
        <w:tab/>
        <w:t xml:space="preserve">se la certificazione delle iscrizioni si estenda per un periodo pari ad almeno venti anni a ritroso dalla trascrizione del pignoramento e sia stata richiesta in relazione a ciascun soggetto che risulti </w:t>
      </w:r>
      <w:r w:rsidRPr="00CE438A">
        <w:rPr>
          <w:rFonts w:ascii="Arial" w:hAnsi="Arial" w:cs="Arial"/>
        </w:rPr>
        <w:lastRenderedPageBreak/>
        <w:t>proprietario (sulla scorta dei pubblici registri immobiliari) per il periodo considerato;</w:t>
      </w:r>
    </w:p>
    <w:p w:rsidR="00CE438A" w:rsidRPr="00CE438A" w:rsidRDefault="00CE438A" w:rsidP="00CE438A">
      <w:pPr>
        <w:pStyle w:val="formul4"/>
        <w:spacing w:line="360" w:lineRule="auto"/>
        <w:rPr>
          <w:rFonts w:ascii="Arial" w:hAnsi="Arial" w:cs="Arial"/>
        </w:rPr>
      </w:pPr>
      <w:r w:rsidRPr="00CE438A">
        <w:rPr>
          <w:rFonts w:ascii="Arial" w:hAnsi="Arial" w:cs="Arial"/>
        </w:rPr>
        <w:t>•</w:t>
      </w:r>
      <w:r w:rsidRPr="00CE438A">
        <w:rPr>
          <w:rFonts w:ascii="Arial" w:hAnsi="Arial" w:cs="Arial"/>
        </w:rPr>
        <w:tab/>
        <w:t>se la certificazione delle trascrizioni (sia a favore, che contro) risalga sino ad un atto di acquisto derivativo od originario che sia stato trascritto in data antecedente di almeno venti anni la trascrizione del pignoramento e sia stata richiesta in relazione a ciascun soggetto che risulti proprietario (sulla scorta dei pubblici registri immobiliari) per il periodo considerato.</w:t>
      </w:r>
    </w:p>
    <w:p w:rsidR="00CE438A" w:rsidRPr="00CE438A" w:rsidRDefault="00CE438A" w:rsidP="00CE438A">
      <w:pPr>
        <w:pStyle w:val="formul4"/>
        <w:spacing w:line="360" w:lineRule="auto"/>
        <w:rPr>
          <w:rFonts w:ascii="Arial" w:hAnsi="Arial" w:cs="Arial"/>
        </w:rPr>
      </w:pPr>
      <w:r w:rsidRPr="00CE438A">
        <w:rPr>
          <w:rFonts w:ascii="Arial" w:hAnsi="Arial" w:cs="Arial"/>
          <w:u w:val="dotted"/>
        </w:rPr>
        <w:t xml:space="preserve">     Nel secondo caso</w:t>
      </w:r>
      <w:r w:rsidRPr="00CE438A">
        <w:rPr>
          <w:rFonts w:ascii="Arial" w:hAnsi="Arial" w:cs="Arial"/>
        </w:rPr>
        <w:t xml:space="preserve"> (certificazione notarile sostitutiva), l’esperto deve precisare in riferimento a ciascuno degli immobili pignorati:</w:t>
      </w:r>
    </w:p>
    <w:p w:rsidR="00CE438A" w:rsidRPr="00CE438A" w:rsidRDefault="00CE438A" w:rsidP="00CE438A">
      <w:pPr>
        <w:pStyle w:val="formul4"/>
        <w:spacing w:line="360" w:lineRule="auto"/>
        <w:rPr>
          <w:rFonts w:ascii="Arial" w:hAnsi="Arial" w:cs="Arial"/>
        </w:rPr>
      </w:pPr>
      <w:r w:rsidRPr="00CE438A">
        <w:rPr>
          <w:rFonts w:ascii="Arial" w:hAnsi="Arial" w:cs="Arial"/>
        </w:rPr>
        <w:t>•</w:t>
      </w:r>
      <w:r w:rsidRPr="00CE438A">
        <w:rPr>
          <w:rFonts w:ascii="Arial" w:hAnsi="Arial" w:cs="Arial"/>
        </w:rPr>
        <w:tab/>
        <w:t>se la certificazione risalga sino ad un atto di acquisto derivativo od originario che sia stato trascritto in data antecedente di almeno venti anni la trascrizione del pignoramento.</w:t>
      </w:r>
    </w:p>
    <w:p w:rsidR="00CE438A" w:rsidRPr="00CE438A" w:rsidRDefault="00CE438A" w:rsidP="00CE438A">
      <w:pPr>
        <w:pStyle w:val="formul4"/>
        <w:spacing w:line="360" w:lineRule="auto"/>
        <w:rPr>
          <w:rFonts w:ascii="Arial" w:hAnsi="Arial" w:cs="Arial"/>
        </w:rPr>
      </w:pP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In secondo luogo, l’esperto deve precisare se il creditore procedente abbia depositato l’estratto catastale attuale (relativo cioè alla situazione al giorno del rilascio del documento) e l’estratto catastale storico (estratto che deve riguardare il medesimo periodo preso in considerazione dalla certificazione delle trascrizioni: il periodo cioè sino alla data dell’atto di acquisto derivativo od originario antecedente di almeno venti anni la trascrizione del pignoramento).</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Nel caso di deposito della certificazione notarile sostitutiva, l’esperto deve precisare se i dati catastali attuali e storici degli immobili pignorati siano indicati nella detta certificazione.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In terzo luogo, l’esperto deve precisare se il creditore procedente abbia depositato il certificato di stato civile dell’esecutato.</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In difetto, l’esperto deve procedere all’immediata acquisizione dello stesso, precisando nel modulo di controllo della documentazione lo stato civile dell’esecutato come risultante dal certificato.</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Nel caso di esistenza di rapporto di coniugio, sempre in sede di controllo preliminare (e fermo restando quanto richiesto in risposta al quesito n. 14) l’esperto deve acquisire il certificato di matrimonio rilasciato dal Comune del luogo in cui sia stato celebrato, con indicazione delle annotazioni a margine.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Laddove risulti che alla data dell’acquisto l’esecutato fosse coniugato in regime di comunione legale ed il pignoramento non sia stato notificato al coniuge comproprietario, l’esperto indicherà tale circostanza al creditore procedente ed al G.E.</w:t>
      </w:r>
    </w:p>
    <w:p w:rsidR="00CE438A" w:rsidRPr="00CE438A" w:rsidRDefault="00CE438A" w:rsidP="00CE438A">
      <w:pPr>
        <w:pStyle w:val="formul4"/>
        <w:spacing w:line="360" w:lineRule="auto"/>
        <w:rPr>
          <w:rFonts w:ascii="Arial" w:hAnsi="Arial" w:cs="Arial"/>
        </w:rPr>
      </w:pPr>
    </w:p>
    <w:p w:rsidR="00CE438A" w:rsidRPr="00CE438A" w:rsidRDefault="00CE438A" w:rsidP="00CE438A">
      <w:pPr>
        <w:pStyle w:val="formul4"/>
        <w:spacing w:line="360" w:lineRule="auto"/>
        <w:rPr>
          <w:rFonts w:ascii="Arial" w:hAnsi="Arial" w:cs="Arial"/>
        </w:rPr>
      </w:pPr>
      <w:r w:rsidRPr="00CE438A">
        <w:rPr>
          <w:rFonts w:ascii="Arial" w:hAnsi="Arial" w:cs="Arial"/>
        </w:rPr>
        <w:t>Compiuto questo preliminare controllo provveda l’esperto: </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1) all’identificazione del bene comprensiva dei confini e dei dati catastali e più precisamente all’esatta individuazione dei beni oggetto del pignoramento ed alla formazione, ove opportuno, di uno o più lotti per la vendita, identificando i nuovi confini e provvedendo, previa autorizzazione del giudice, se necessario, alla realizzazione del frazionamento con allegazione alla relazione estimativa dei tipi debitamente approvati dall'Ufficio Tecnico Erariale; </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2) ad una sommaria descrizione del bene, avendo cura di precisare le caratteristiche oggettive dell’immobile in relazione all’art. 10 D.P.R. 633/1972 e se la vendita immobiliare sia soggetta ad </w:t>
      </w:r>
      <w:r w:rsidRPr="00CE438A">
        <w:rPr>
          <w:rFonts w:ascii="Arial" w:hAnsi="Arial" w:cs="Arial"/>
        </w:rPr>
        <w:lastRenderedPageBreak/>
        <w:t>I.V.A., ovvero n</w:t>
      </w:r>
      <w:r w:rsidRPr="00CE438A">
        <w:rPr>
          <w:rFonts w:ascii="Arial" w:hAnsi="Arial" w:cs="Arial"/>
          <w:i/>
          <w:iCs/>
        </w:rPr>
        <w:t>el caso di immobili abitativi, dica il CTU se possa sussistere la possibilità di esercizio dell’opzione IVA per l’imponibilità IVA essendo già trascorsi i 5 anni dall’ultimazione della costruzione o del ripristino</w:t>
      </w:r>
    </w:p>
    <w:p w:rsidR="00CE438A" w:rsidRPr="00CE438A" w:rsidRDefault="00CE438A" w:rsidP="00CE438A">
      <w:pPr>
        <w:pStyle w:val="formul4"/>
        <w:spacing w:line="360" w:lineRule="auto"/>
        <w:rPr>
          <w:rFonts w:ascii="Arial" w:hAnsi="Arial" w:cs="Arial"/>
        </w:rPr>
      </w:pPr>
      <w:r w:rsidRPr="00CE438A">
        <w:rPr>
          <w:rFonts w:ascii="Arial" w:hAnsi="Arial" w:cs="Arial"/>
        </w:rPr>
        <w:t> 3) ad indicare per le costruzioni iniziate anteriormente il 2 settembre 1967 la data di inizio delle costruzioni, anche in base ad elementi presuntivi, ove non sia reperibile la dichiarazione sostitutiva dell’atto notorio di cui all’art. 40 della L. 47/1985;</w:t>
      </w:r>
    </w:p>
    <w:p w:rsidR="00CE438A" w:rsidRPr="00CE438A" w:rsidRDefault="00CE438A" w:rsidP="00CE438A">
      <w:pPr>
        <w:pStyle w:val="formul4"/>
        <w:spacing w:line="360" w:lineRule="auto"/>
        <w:rPr>
          <w:rFonts w:ascii="Arial" w:hAnsi="Arial" w:cs="Arial"/>
          <w:b/>
          <w:bCs/>
        </w:rPr>
      </w:pPr>
      <w:r w:rsidRPr="00CE438A">
        <w:rPr>
          <w:rFonts w:ascii="Arial" w:hAnsi="Arial" w:cs="Arial"/>
        </w:rPr>
        <w:t xml:space="preserve"> 4) ad accertare, per le costruzioni iniziate successivamente alla data di cui al punto 3, gli estremi della licenza o della concessione edilizia; evidenzi in ogni caso l’eventuale assenza di licenza o le realizzazioni effettuate in difformità della stessa ed in tali casi specifichi l’epoca di realizzazione dell’opera e /o della  sua ultimazione. </w:t>
      </w:r>
      <w:r w:rsidRPr="00CE438A">
        <w:rPr>
          <w:rFonts w:ascii="Arial" w:hAnsi="Arial" w:cs="Arial"/>
          <w:b/>
          <w:bCs/>
        </w:rPr>
        <w:t xml:space="preserve"> In caso di opere abusive effettui il controllo  della  possibilità  di sanatoria ai sensi dell'articolo 36 del decreto del Presidente  della Repubblica 6 giugno 2001, n. 380 e gli eventuali costi della  stessa; altrimenti, verifichi l'eventuale presentazione  di  istanze  di condono, indicando il soggetto istante e la normativa in forza  della quale l'istanza sia stata presentata, lo stato  del  procedimento,  i costi per il conseguimento del titolo in  sanatoria  e  le  eventuali oblazioni gia' corrisposte o da corrispondere; in ogni altro caso, verifichi, ai fini della istanza di condono che l'aggiudicatario possa eventualmente presentare, che gli immobili pignorati si trovino nelle condizioni previste dall'articolo 40, sesto  comma,  della  legge  28 febbraio 1985, n. 47 ovvero dall'articolo 46, comma 5 del decreto del Presidente della Repubblica 6 giugno 2001, n.  380,  specificando  il costo per il conseguimento del titolo in sanatoria</w:t>
      </w:r>
      <w:r w:rsidRPr="00CE438A">
        <w:rPr>
          <w:rFonts w:ascii="Arial" w:hAnsi="Arial" w:cs="Arial"/>
        </w:rPr>
        <w:t>;</w:t>
      </w:r>
    </w:p>
    <w:p w:rsidR="00CE438A" w:rsidRPr="00CE438A" w:rsidRDefault="00CE438A" w:rsidP="00CE438A">
      <w:pPr>
        <w:pStyle w:val="formul4"/>
        <w:spacing w:line="360" w:lineRule="auto"/>
        <w:rPr>
          <w:rFonts w:ascii="Arial" w:hAnsi="Arial" w:cs="Arial"/>
        </w:rPr>
      </w:pPr>
      <w:r w:rsidRPr="00CE438A">
        <w:rPr>
          <w:rFonts w:ascii="Arial" w:hAnsi="Arial" w:cs="Arial"/>
        </w:rPr>
        <w:t>5) ad allegare per i terreni il certificato di destinazione urbanistica rilasciato dal Sindaco competente ai sensi dell’art. 18 della Legge 47/1985;</w:t>
      </w:r>
    </w:p>
    <w:p w:rsidR="00CE438A" w:rsidRPr="00CE438A" w:rsidRDefault="00CE438A" w:rsidP="00CE438A">
      <w:pPr>
        <w:pStyle w:val="formul4"/>
        <w:spacing w:line="360" w:lineRule="auto"/>
        <w:rPr>
          <w:rFonts w:ascii="Arial" w:hAnsi="Arial" w:cs="Arial"/>
        </w:rPr>
      </w:pPr>
      <w:r w:rsidRPr="00CE438A">
        <w:rPr>
          <w:rFonts w:ascii="Arial" w:hAnsi="Arial" w:cs="Arial"/>
        </w:rPr>
        <w:t>6)  ad identificare catastalmente l’immobile, previo accertamento dell’esatta rispondenza dei dati specificati nell’atto di pignoramento con le risultanze catastali, indicando gli ulteriori elementi necessari per l'eventuale emissione del decreto di trasferimento ed eseguendo le variazioni che fossero necessarie per l’aggiornamento del catasto, ivi compresa la denuncia al N.C.E.U. in relazione alla legge n. 1249/39, oltre ad acquisire la relativa scheda ovvero predisponendola ove mancante; provveda, in caso di difformità o mancanza di idonea planimetria del bene, alla sua correzione o redazione e, in caso di oggettiva impossibilità, ne indichi le ragioni ostative;</w:t>
      </w:r>
    </w:p>
    <w:p w:rsidR="00CE438A" w:rsidRPr="00CE438A" w:rsidRDefault="00CE438A" w:rsidP="00CE438A">
      <w:pPr>
        <w:pStyle w:val="formul4"/>
        <w:spacing w:line="360" w:lineRule="auto"/>
        <w:rPr>
          <w:rFonts w:ascii="Arial" w:hAnsi="Arial" w:cs="Arial"/>
        </w:rPr>
      </w:pPr>
      <w:r w:rsidRPr="00CE438A">
        <w:rPr>
          <w:rFonts w:ascii="Arial" w:hAnsi="Arial" w:cs="Arial"/>
        </w:rPr>
        <w:t>7) ad appurare, sulla scorta della documentazione dell’Agenzia del Territorio, se all’atto della notifica del pignoramento parte esecutata era intestataria degli immobili stessi in forza ad un atto regolarmente trascritto, indicando gli eventuali comproprietari indivisi. In tal caso l’esperto deve precisare se la quota in titolarità dell’esecutato sia suscettibile di separazione in natura (attraverso cioè la materiale separazione di una porzione di valore  esattamente pari alla quota).     L’esperto deve infine chiarire già in tale sede se l’immobile risulti comodamente divisibile in porzioni di valore similare per ciascun comproprietario, predisponendo se del caso una bozza di progetto di divisione;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8) a verificare l’esatta provenienza dei beni immobili mediante la ricostruzione analitica delle vicende </w:t>
      </w:r>
      <w:r w:rsidRPr="00CE438A">
        <w:rPr>
          <w:rFonts w:ascii="Arial" w:hAnsi="Arial" w:cs="Arial"/>
        </w:rPr>
        <w:lastRenderedPageBreak/>
        <w:t>relative alle trascrizioni ed alle iscrizioni ipotecarie nel ventennio antecedente al pignoramento, la sussistenza di oneri, pesi, servitù attive e/o passive, diritti di usufrutto, uso ed abitazione e quindi ad indicare l’esistenza di formalità, vincoli e oneri, anche di natura condominiale, che saranno cancellati o che comunque risulteranno non opponibili all’acquirente;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9) a determinare il valore degli immobili pignorati . </w:t>
      </w:r>
      <w:r w:rsidRPr="00CE438A">
        <w:rPr>
          <w:rFonts w:ascii="Arial" w:hAnsi="Arial" w:cs="Arial"/>
          <w:u w:val="single"/>
        </w:rPr>
        <w:t>Ai sensi del novellato art.569 c.p.c.  nella determinazione del valore di  mercato  l'esperto  procede  al calcolo   della   superficie   dell'immobile,   specificando   quella commerciale, il valore per metro quadro e  il  valore  complessivo, esponendo analiticamente gli adeguamenti e le correzioni della stima, ivi compresa  la  riduzione  del  valore  di  mercato  praticata  per l'assenza della garanzia per vizi del bene venduto, e precisando tali adeguamenti in maniera distinta per  gli  oneri  di  regolarizzazione urbanistica, lo stato d'uso e di manutenzione, lo stato di  possesso, i vincoli e  gli  oneri  giuridici  non  eliminabili  nel  corso  del procedimento esecutivo, nonche' per le eventuali  spese  condominiali insolute</w:t>
      </w:r>
      <w:r w:rsidRPr="00CE438A">
        <w:rPr>
          <w:rFonts w:ascii="Arial" w:hAnsi="Arial" w:cs="Arial"/>
        </w:rPr>
        <w:t>;</w:t>
      </w:r>
    </w:p>
    <w:p w:rsidR="00CE438A" w:rsidRPr="00CE438A" w:rsidRDefault="00CE438A" w:rsidP="00CE438A">
      <w:pPr>
        <w:pStyle w:val="formul4"/>
        <w:spacing w:line="360" w:lineRule="auto"/>
        <w:rPr>
          <w:rFonts w:ascii="Arial" w:hAnsi="Arial" w:cs="Arial"/>
        </w:rPr>
      </w:pPr>
      <w:r w:rsidRPr="00CE438A">
        <w:rPr>
          <w:rFonts w:ascii="Arial" w:hAnsi="Arial" w:cs="Arial"/>
        </w:rPr>
        <w:t>10) a formare lotti per gruppi omogenei se la natura degli immobili lo consente, indicando, per ciascuna unità il valore, la superficie ed i confini e procedendo, se necessario, al relativo frazionamento catastale;</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11) ad accertare lo stato di possesso del bene, con l’indicazione, se occupato da terzi, del titolo in base al  quale il compendio è occupato, con particolare riferimento all’esistenza di contratti registrati in data antecedente al pignoramento; laddove gli immobili siano occupati in base ad un contratto di affitto o locazione, </w:t>
      </w:r>
      <w:r w:rsidRPr="00CE438A">
        <w:rPr>
          <w:rFonts w:ascii="Arial" w:hAnsi="Arial" w:cs="Arial"/>
          <w:u w:val="single"/>
        </w:rPr>
        <w:t>ove possibile lo alleghi e comunque verifichi sempre</w:t>
      </w:r>
      <w:r w:rsidRPr="00CE438A">
        <w:rPr>
          <w:rFonts w:ascii="Arial" w:hAnsi="Arial" w:cs="Arial"/>
        </w:rPr>
        <w:t xml:space="preserve"> la data di registrazione e la scadenza del contratto, la data di scadenza per l’eventuale disdetta, l’eventuale data di rilascio fissata o lo stato della causa eventualmente in corso per il rilascio, </w:t>
      </w:r>
      <w:r w:rsidRPr="00CE438A">
        <w:rPr>
          <w:rFonts w:ascii="Arial" w:hAnsi="Arial" w:cs="Arial"/>
          <w:u w:val="single"/>
        </w:rPr>
        <w:t>la rispondenza del canone al valore di mercato al momento della conclusione del contratto e, in caso negativo, la differenza rispetto a tale valore</w:t>
      </w:r>
      <w:r w:rsidRPr="00CE438A">
        <w:rPr>
          <w:rFonts w:ascii="Arial" w:hAnsi="Arial" w:cs="Arial"/>
        </w:rPr>
        <w:t>,  nonché dell’esistenza di formalità, vincoli o oneri, anche di natura condominiale, gravanti sul bene che resteranno a carico dell’acquirente, ivi compresi i vincoli derivanti da contratti incidenti sulla attitudine edificatoria dello stesso o i vincoli connessi con il suo carattere storico-artistico. Verifichi in particolare se  i beni pignorati siano gravati da censo, livello o uso civico e se vi sia stata affrancazione da tali pesi, ovvero che il diritto sul bene del debitore pignorato sia di  proprietà  ovvero derivante da alcuno dei suddetti titoli. Specifichi l'importo annuo delle spese fisse di  gestione o di manutenzione, nonché circa la sussistenza di eventuali spese straordinarie  già  deliberate anche se il relativo debito non  sia  ancora  scaduto,  su  eventuali spese condominiali non pagate negli ultimi due  anni  anteriori  alla data della perizia, sul corso di  eventuali  procedimenti giudiziari relativi al bene pignorato;</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12) ad accertare se i beni pignorati siano oggetto di procedura espropriativa per pubblica utilità;</w:t>
      </w:r>
    </w:p>
    <w:p w:rsidR="00CE438A" w:rsidRPr="00CE438A" w:rsidRDefault="00CE438A" w:rsidP="00CE438A">
      <w:pPr>
        <w:pStyle w:val="formul4"/>
        <w:spacing w:line="360" w:lineRule="auto"/>
        <w:rPr>
          <w:rFonts w:ascii="Arial" w:hAnsi="Arial" w:cs="Arial"/>
        </w:rPr>
      </w:pPr>
      <w:r w:rsidRPr="00CE438A">
        <w:rPr>
          <w:rFonts w:ascii="Arial" w:hAnsi="Arial" w:cs="Arial"/>
        </w:rPr>
        <w:t>13) ad allegare le planimetrie degli immobili ed una congrua documentazione fotografica che idoneamente li raffiguri;</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14) a depositare una separata e succinta descrizione del lotto, ovvero dei lotti formati, con indicazione dello stato di occupazione da parte dell’esecutato o di terzi, con il prezzo di stima loro </w:t>
      </w:r>
      <w:r w:rsidRPr="00CE438A">
        <w:rPr>
          <w:rFonts w:ascii="Arial" w:hAnsi="Arial" w:cs="Arial"/>
        </w:rPr>
        <w:lastRenderedPageBreak/>
        <w:t>attribuito, nella quale sarà indicata tra l’altro anche il contesto in cui gli stessi sono ubicati, secondo lo schema consueto per la pubblicazione dei bandi di vendita immobiliare.</w:t>
      </w:r>
    </w:p>
    <w:p w:rsidR="00CE438A" w:rsidRPr="00CE438A" w:rsidRDefault="00CE438A" w:rsidP="00CE438A">
      <w:pPr>
        <w:pStyle w:val="formul4"/>
        <w:spacing w:line="360" w:lineRule="auto"/>
        <w:rPr>
          <w:rFonts w:ascii="Arial" w:hAnsi="Arial" w:cs="Arial"/>
        </w:rPr>
      </w:pPr>
      <w:r w:rsidRPr="00CE438A">
        <w:rPr>
          <w:rFonts w:ascii="Arial" w:hAnsi="Arial" w:cs="Arial"/>
        </w:rPr>
        <w:t>15) ad allegare una versione della perizia di stima redatta in conformità alla direttiva del Garante per la protezione dei dati personali del 7.2.2008 (G.U. n. 47 del 25.2.2008), ossia una copia dell’elaborato senza l’indicazione delle generalità del debitore e di ogni altro dato personale idoneo a rivelare l’identità di quest’ultimo e di eventuali soggetti terzi (quali i proprietari di porzioni immobiliari confinanti con il bene dell’esecutato ovvero i comproprietari) non previsto dalla legge e comunque eccedente e non pertinente rispetto alla procedura di vendita</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16) ad allegare altresì la check list dei principali controlli effettuati sulla documentazione di cui all’articolo 567 II co.c.p.c. in modalità telematica PCT e un foglio riassuntivo di tutti gli identificativi catastali dei beni periziati, in formato .rtf o word.zip </w:t>
      </w:r>
      <w:r w:rsidRPr="00CE438A">
        <w:rPr>
          <w:rFonts w:ascii="Arial" w:hAnsi="Arial" w:cs="Arial"/>
          <w:i/>
        </w:rPr>
        <w:t>(sempre che la check list non sia stata compilata da altro soggetto incaricato, ad esempio all’interno dell’Ufficio del Processo)</w:t>
      </w:r>
      <w:r w:rsidRPr="00CE438A">
        <w:rPr>
          <w:rFonts w:ascii="Arial" w:hAnsi="Arial" w:cs="Arial"/>
        </w:rPr>
        <w:t>.</w:t>
      </w:r>
    </w:p>
    <w:p w:rsidR="00CE438A" w:rsidRPr="00CE438A" w:rsidRDefault="00CE438A" w:rsidP="00CE438A">
      <w:pPr>
        <w:pStyle w:val="formul4"/>
        <w:spacing w:line="360" w:lineRule="auto"/>
        <w:rPr>
          <w:rFonts w:ascii="Arial" w:hAnsi="Arial" w:cs="Arial"/>
        </w:rPr>
      </w:pPr>
      <w:r w:rsidRPr="00CE438A">
        <w:rPr>
          <w:rFonts w:ascii="Arial" w:hAnsi="Arial" w:cs="Arial"/>
        </w:rPr>
        <w:t>Il controllo della documentazione di cui all’art.567 c.p.c. con verifica della completezza e adeguatezza della stessa dovrà essere effettuato di concerto tra lo stimatore e il custode.</w:t>
      </w:r>
    </w:p>
    <w:p w:rsidR="00CE438A" w:rsidRDefault="00CE438A" w:rsidP="00CE438A">
      <w:pPr>
        <w:pStyle w:val="formul4"/>
        <w:spacing w:line="360" w:lineRule="auto"/>
        <w:rPr>
          <w:rFonts w:ascii="Arial" w:hAnsi="Arial" w:cs="Arial"/>
          <w:iCs/>
        </w:rPr>
      </w:pPr>
    </w:p>
    <w:p w:rsidR="00CE438A" w:rsidRPr="00CE438A" w:rsidRDefault="00CE438A" w:rsidP="00CE438A">
      <w:pPr>
        <w:pStyle w:val="formul4"/>
        <w:spacing w:line="360" w:lineRule="auto"/>
        <w:rPr>
          <w:rFonts w:ascii="Arial" w:hAnsi="Arial" w:cs="Arial"/>
        </w:rPr>
      </w:pPr>
      <w:r w:rsidRPr="00CE438A">
        <w:rPr>
          <w:rFonts w:ascii="Arial" w:hAnsi="Arial" w:cs="Arial"/>
          <w:iCs/>
        </w:rPr>
        <w:t>L’esperto, terminata la relazione, dovrà inviarne copia ai creditori procedenti o intervenuti e al debitore, anche se non costituito, almeno trenta giorni prima dell’udienza fissata ai sensi dell’articolo 569 c.p.c. per il giorno del</w:t>
      </w:r>
      <w:r>
        <w:rPr>
          <w:rFonts w:ascii="Arial" w:hAnsi="Arial" w:cs="Arial"/>
          <w:b/>
          <w:bCs/>
          <w:iCs/>
        </w:rPr>
        <w:t xml:space="preserve"> </w:t>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sidRPr="00CE438A">
        <w:rPr>
          <w:rFonts w:ascii="Arial" w:hAnsi="Arial" w:cs="Arial"/>
          <w:iCs/>
        </w:rPr>
        <w:t>, a mezzo posta ordinaria (al debitore con raccomandata e avviso di ricevimento se non costituito a mezzo di procuratore) o per posta elettronica, nel rispetto della normativa, anche regolamentare, concernente la sottoscrizione, la trasmissione e la ricezione dei documenti informatici e teletrasmessi.</w:t>
      </w:r>
    </w:p>
    <w:p w:rsidR="00CE438A" w:rsidRPr="00CE438A" w:rsidRDefault="00CE438A" w:rsidP="00CE438A">
      <w:pPr>
        <w:pStyle w:val="formul4"/>
        <w:spacing w:line="360" w:lineRule="auto"/>
        <w:rPr>
          <w:rFonts w:ascii="Arial" w:hAnsi="Arial" w:cs="Arial"/>
          <w:iCs/>
          <w:u w:val="single"/>
        </w:rPr>
      </w:pPr>
      <w:r w:rsidRPr="00CE438A">
        <w:rPr>
          <w:rFonts w:ascii="Arial" w:hAnsi="Arial" w:cs="Arial"/>
        </w:rPr>
        <w:t xml:space="preserve"> All’esperto sono concessi</w:t>
      </w:r>
      <w:r w:rsidRPr="00CE438A">
        <w:rPr>
          <w:rFonts w:ascii="Arial" w:hAnsi="Arial" w:cs="Arial"/>
          <w:iCs/>
        </w:rPr>
        <w:t xml:space="preserve"> giorni novanta dal giuramento per il deposito della relazione tecnica estimativa con relativi allegati, in modalità telematica PCT. A tale fine, all’interno della cd “busta telematica” che sarà depositata dall’esperto, l’atto principale sarà costituito dalla perizia di stima in versione integrale firmata digitalmente e come allegati dovranno essere inseriti la perizia di stima in versione privacy nonché gli allegati sopra identificati, avendo cura di seguire le “indicazioni tecniche per gli esperti stimatori relativamente alla documentazione della perizia di stima da depositare telematicamente” consultabili in cancelleria</w:t>
      </w:r>
      <w:r w:rsidRPr="00CE438A">
        <w:rPr>
          <w:rFonts w:ascii="Arial" w:hAnsi="Arial" w:cs="Arial"/>
          <w:iCs/>
          <w:u w:val="single"/>
        </w:rPr>
        <w:t>. Dovrà altresì essere allegato in formato .rtf o word.zip un foglio riassuntivo di tutti gli identificativi catastali dei beni periziati da utilizzarsi nella predisposizione dell’ordinanza di vendita</w:t>
      </w:r>
    </w:p>
    <w:p w:rsidR="00CE438A" w:rsidRPr="00CE438A" w:rsidRDefault="00CE438A" w:rsidP="00CE438A">
      <w:pPr>
        <w:pStyle w:val="formul4"/>
        <w:spacing w:line="360" w:lineRule="auto"/>
        <w:rPr>
          <w:rFonts w:ascii="Arial" w:hAnsi="Arial" w:cs="Arial"/>
        </w:rPr>
      </w:pPr>
      <w:r w:rsidRPr="00CE438A">
        <w:rPr>
          <w:rFonts w:ascii="Arial" w:hAnsi="Arial" w:cs="Arial"/>
          <w:b/>
          <w:iCs/>
        </w:rPr>
        <w:t>ASSEGNA</w:t>
      </w:r>
      <w:r w:rsidRPr="00CE438A">
        <w:rPr>
          <w:rFonts w:ascii="Arial" w:hAnsi="Arial" w:cs="Arial"/>
          <w:iCs/>
        </w:rPr>
        <w:t xml:space="preserve"> </w:t>
      </w:r>
      <w:r w:rsidRPr="00CE438A">
        <w:rPr>
          <w:rFonts w:ascii="Arial" w:hAnsi="Arial" w:cs="Arial"/>
          <w:b/>
          <w:iCs/>
        </w:rPr>
        <w:t>all’esperto  un fondo spese pari ad €__________</w:t>
      </w:r>
      <w:r w:rsidRPr="00CE438A">
        <w:rPr>
          <w:rFonts w:ascii="Arial" w:hAnsi="Arial" w:cs="Arial"/>
          <w:b/>
        </w:rPr>
        <w:t xml:space="preserve">, da versarsi a cura del  creditore @@creditore@@  </w:t>
      </w:r>
      <w:r w:rsidRPr="00CE438A">
        <w:rPr>
          <w:rFonts w:ascii="Arial" w:hAnsi="Arial" w:cs="Arial"/>
          <w:b/>
          <w:u w:val="single"/>
        </w:rPr>
        <w:t>entro           giorni</w:t>
      </w:r>
      <w:r w:rsidRPr="00CE438A">
        <w:rPr>
          <w:rFonts w:ascii="Arial" w:hAnsi="Arial" w:cs="Arial"/>
          <w:b/>
        </w:rPr>
        <w:t xml:space="preserve"> dal giuramento dell’esperto</w:t>
      </w:r>
      <w:r w:rsidRPr="00CE438A">
        <w:rPr>
          <w:rFonts w:ascii="Arial" w:hAnsi="Arial" w:cs="Arial"/>
        </w:rPr>
        <w:t>;</w:t>
      </w:r>
    </w:p>
    <w:p w:rsidR="00CE438A" w:rsidRPr="00CE438A" w:rsidRDefault="00CE438A" w:rsidP="00CE438A">
      <w:pPr>
        <w:pStyle w:val="formul4"/>
        <w:spacing w:line="360" w:lineRule="auto"/>
        <w:rPr>
          <w:rFonts w:ascii="Arial" w:hAnsi="Arial" w:cs="Arial"/>
        </w:rPr>
      </w:pPr>
      <w:r w:rsidRPr="00CE438A">
        <w:rPr>
          <w:rFonts w:ascii="Arial" w:hAnsi="Arial" w:cs="Arial"/>
        </w:rPr>
        <w:t>Al fine di consentire all’esperto lo svolgimento dell’incarico autorizza l’esperto stimatore a:</w:t>
      </w:r>
    </w:p>
    <w:p w:rsidR="00CE438A" w:rsidRPr="00CE438A" w:rsidRDefault="00CE438A" w:rsidP="00CE438A">
      <w:pPr>
        <w:pStyle w:val="formul4"/>
        <w:spacing w:line="360" w:lineRule="auto"/>
        <w:rPr>
          <w:rFonts w:ascii="Arial" w:hAnsi="Arial" w:cs="Arial"/>
        </w:rPr>
      </w:pPr>
      <w:r w:rsidRPr="00CE438A">
        <w:rPr>
          <w:rFonts w:ascii="Arial" w:hAnsi="Arial" w:cs="Arial"/>
        </w:rPr>
        <w:t xml:space="preserve">     a) accedere ad ogni documento concernente gli immobili pignorati, ivi compresi documenti relativi a rapporti di locazione, in possesso del Comune, dell’Ufficio del Registro, della Conservatoria dei Registri Immobiliari, dell’Ufficio del Territorio o del Condominio, ed a estrarne copia, non trovando  applicazione i limiti di cui alla legge 31.12.96 n. 675 sulla “Tutela  delle persone e di altri soggetti </w:t>
      </w:r>
      <w:r w:rsidRPr="00CE438A">
        <w:rPr>
          <w:rFonts w:ascii="Arial" w:hAnsi="Arial" w:cs="Arial"/>
        </w:rPr>
        <w:lastRenderedPageBreak/>
        <w:t>rispetto al trattamento dei dati personali”;</w:t>
      </w:r>
    </w:p>
    <w:p w:rsidR="00CE438A" w:rsidRDefault="00CE438A" w:rsidP="00CE438A">
      <w:pPr>
        <w:pStyle w:val="formul4"/>
        <w:spacing w:line="360" w:lineRule="auto"/>
        <w:rPr>
          <w:rFonts w:ascii="Arial" w:hAnsi="Arial" w:cs="Arial"/>
        </w:rPr>
      </w:pPr>
      <w:r w:rsidRPr="00CE438A">
        <w:rPr>
          <w:rFonts w:ascii="Arial" w:hAnsi="Arial" w:cs="Arial"/>
        </w:rPr>
        <w:t xml:space="preserve">      b) richiedere al Comune competente certificato storico di residenza relativo a qualsiasi oc</w:t>
      </w:r>
      <w:r>
        <w:rPr>
          <w:rFonts w:ascii="Arial" w:hAnsi="Arial" w:cs="Arial"/>
        </w:rPr>
        <w:t>cupante dell’immobile pignorato;</w:t>
      </w:r>
    </w:p>
    <w:p w:rsidR="00CE438A" w:rsidRPr="00CE438A" w:rsidRDefault="00CE438A" w:rsidP="00CE438A">
      <w:pPr>
        <w:pStyle w:val="formul4"/>
        <w:spacing w:line="360" w:lineRule="auto"/>
        <w:rPr>
          <w:rFonts w:ascii="Arial" w:hAnsi="Arial" w:cs="Arial"/>
          <w:u w:val="single"/>
          <w:lang w:val="it-IT"/>
        </w:rPr>
      </w:pPr>
      <w:r>
        <w:rPr>
          <w:rFonts w:ascii="Arial" w:hAnsi="Arial" w:cs="Arial"/>
        </w:rPr>
        <w:t xml:space="preserve">     c)</w:t>
      </w:r>
      <w:r>
        <w:rPr>
          <w:rFonts w:ascii="Arial" w:hAnsi="Arial" w:cs="Arial"/>
          <w:u w:val="single"/>
        </w:rPr>
        <w:t xml:space="preserve"> </w:t>
      </w:r>
      <w:r w:rsidRPr="00CE438A">
        <w:rPr>
          <w:rFonts w:ascii="Arial" w:hAnsi="Arial" w:cs="Arial"/>
          <w:u w:val="single"/>
          <w:lang w:val="it-IT"/>
        </w:rPr>
        <w:t>al ritiro di copia degli atti del fascicolo d’ufficio;</w:t>
      </w:r>
    </w:p>
    <w:p w:rsidR="00CE438A" w:rsidRPr="00CE438A" w:rsidRDefault="00CE438A" w:rsidP="00CE438A">
      <w:pPr>
        <w:pStyle w:val="formul4"/>
        <w:rPr>
          <w:rFonts w:ascii="Arial" w:hAnsi="Arial" w:cs="Arial"/>
          <w:u w:val="single"/>
          <w:lang w:val="it-IT"/>
        </w:rPr>
      </w:pPr>
      <w:r>
        <w:rPr>
          <w:rFonts w:ascii="Arial" w:hAnsi="Arial" w:cs="Arial"/>
          <w:u w:val="single"/>
          <w:lang w:val="it-IT"/>
        </w:rPr>
        <w:t xml:space="preserve">     d) </w:t>
      </w:r>
      <w:r w:rsidRPr="00CE438A">
        <w:rPr>
          <w:rFonts w:ascii="Arial" w:hAnsi="Arial" w:cs="Arial"/>
          <w:u w:val="single"/>
          <w:lang w:val="it-IT"/>
        </w:rPr>
        <w:t xml:space="preserve">all’uso di mezzo proprio, ove debba allontanarsi dal Comune di residenza in luogo distante oltre </w:t>
      </w:r>
      <w:smartTag w:uri="urn:schemas-microsoft-com:office:smarttags" w:element="metricconverter">
        <w:smartTagPr>
          <w:attr w:name="ProductID" w:val="201 l"/>
        </w:smartTagPr>
        <w:r w:rsidRPr="00CE438A">
          <w:rPr>
            <w:rFonts w:ascii="Arial" w:hAnsi="Arial" w:cs="Arial"/>
            <w:u w:val="single"/>
            <w:lang w:val="it-IT"/>
          </w:rPr>
          <w:t>10 km</w:t>
        </w:r>
      </w:smartTag>
      <w:r w:rsidRPr="00CE438A">
        <w:rPr>
          <w:rFonts w:ascii="Arial" w:hAnsi="Arial" w:cs="Arial"/>
          <w:u w:val="single"/>
          <w:lang w:val="it-IT"/>
        </w:rPr>
        <w:t>;</w:t>
      </w:r>
    </w:p>
    <w:p w:rsidR="00D1250E" w:rsidRPr="00CE438A" w:rsidRDefault="00D1250E" w:rsidP="00CE438A">
      <w:pPr>
        <w:pStyle w:val="formul4"/>
        <w:spacing w:line="360" w:lineRule="auto"/>
        <w:rPr>
          <w:rFonts w:ascii="Arial" w:hAnsi="Arial" w:cs="Arial"/>
          <w:sz w:val="24"/>
          <w:szCs w:val="24"/>
        </w:rPr>
      </w:pPr>
    </w:p>
    <w:p w:rsidR="00D1250E" w:rsidRPr="00D1250E" w:rsidRDefault="00CE438A" w:rsidP="00D127A8">
      <w:pPr>
        <w:pStyle w:val="Corpotesto"/>
        <w:spacing w:line="360" w:lineRule="auto"/>
        <w:jc w:val="both"/>
        <w:rPr>
          <w:rFonts w:ascii="Arial" w:hAnsi="Arial" w:cs="Arial"/>
        </w:rPr>
      </w:pPr>
      <w:r>
        <w:rPr>
          <w:rFonts w:ascii="Arial" w:hAnsi="Arial" w:cs="Arial"/>
        </w:rPr>
        <w:t xml:space="preserve">Invita l’esperto </w:t>
      </w:r>
      <w:r w:rsidR="00D1250E" w:rsidRPr="00D1250E">
        <w:rPr>
          <w:rFonts w:ascii="Arial" w:hAnsi="Arial" w:cs="Arial"/>
        </w:rPr>
        <w:t xml:space="preserve">a depositare in cancelleria le ricevute di ritorno delle raccomandate e/o il rapporto di trasmissione via e-mail almeno 7 giorni prima dell’udienza fissata ai sensi dell’art. </w:t>
      </w:r>
      <w:smartTag w:uri="urn:schemas-microsoft-com:office:smarttags" w:element="metricconverter">
        <w:smartTagPr>
          <w:attr w:name="ProductID" w:val="201 l"/>
        </w:smartTagPr>
        <w:r w:rsidR="00D1250E" w:rsidRPr="00D1250E">
          <w:rPr>
            <w:rFonts w:ascii="Arial" w:hAnsi="Arial" w:cs="Arial"/>
          </w:rPr>
          <w:t>569 C</w:t>
        </w:r>
      </w:smartTag>
      <w:r w:rsidR="00D127A8">
        <w:rPr>
          <w:rFonts w:ascii="Arial" w:hAnsi="Arial" w:cs="Arial"/>
        </w:rPr>
        <w:t>.P.C.</w:t>
      </w:r>
    </w:p>
    <w:p w:rsidR="00087EE9" w:rsidRDefault="00CE438A" w:rsidP="00CE438A">
      <w:pPr>
        <w:pStyle w:val="formul4"/>
        <w:spacing w:line="360" w:lineRule="auto"/>
        <w:rPr>
          <w:rFonts w:ascii="Arial" w:hAnsi="Arial" w:cs="Arial"/>
          <w:sz w:val="24"/>
          <w:szCs w:val="24"/>
          <w:lang w:val="it-IT"/>
        </w:rPr>
      </w:pPr>
      <w:r>
        <w:rPr>
          <w:rFonts w:ascii="Arial" w:hAnsi="Arial" w:cs="Arial"/>
          <w:sz w:val="24"/>
          <w:szCs w:val="24"/>
          <w:lang w:val="it-IT"/>
        </w:rPr>
        <w:t xml:space="preserve">SI </w:t>
      </w:r>
      <w:r w:rsidR="00087EE9" w:rsidRPr="00D1250E">
        <w:rPr>
          <w:rFonts w:ascii="Arial" w:hAnsi="Arial" w:cs="Arial"/>
          <w:sz w:val="24"/>
          <w:szCs w:val="24"/>
          <w:lang w:val="it-IT"/>
        </w:rPr>
        <w:t xml:space="preserve"> comunica all’esperto che il sopralluogo dell’immobile è indispensabile e che l’omissione di tale adempimento renderà inutilizzabile la relazione e sarà valutata dal Tribunale ai fini dell’affidamento di ulteriori incarichi. La mancata risposta ad uno solo dei quesiti, senza giustificato motivo, non consentirà la liquidazione, poiché si riterrà non espletato l’incarico con conseguente invito formale al completamento o con revoca </w:t>
      </w:r>
      <w:r w:rsidR="00D1250E" w:rsidRPr="00D1250E">
        <w:rPr>
          <w:rFonts w:ascii="Arial" w:hAnsi="Arial" w:cs="Arial"/>
          <w:sz w:val="24"/>
          <w:szCs w:val="24"/>
          <w:lang w:val="it-IT"/>
        </w:rPr>
        <w:t>dell’incarico</w:t>
      </w:r>
    </w:p>
    <w:p w:rsidR="00F1475A" w:rsidRDefault="00F1475A" w:rsidP="00CE438A">
      <w:pPr>
        <w:pStyle w:val="formul4"/>
        <w:spacing w:line="360" w:lineRule="auto"/>
        <w:rPr>
          <w:rFonts w:ascii="Arial" w:hAnsi="Arial" w:cs="Arial"/>
          <w:sz w:val="24"/>
          <w:szCs w:val="24"/>
          <w:lang w:val="it-IT"/>
        </w:rPr>
      </w:pPr>
    </w:p>
    <w:p w:rsidR="00F1475A" w:rsidRDefault="00F1475A" w:rsidP="00CE438A">
      <w:pPr>
        <w:pStyle w:val="formul4"/>
        <w:spacing w:line="360" w:lineRule="auto"/>
        <w:rPr>
          <w:rFonts w:ascii="Arial" w:hAnsi="Arial" w:cs="Arial"/>
          <w:sz w:val="24"/>
          <w:szCs w:val="24"/>
          <w:lang w:val="it-IT"/>
        </w:rPr>
      </w:pPr>
    </w:p>
    <w:p w:rsidR="00F1475A" w:rsidRPr="00D1250E" w:rsidRDefault="00F1475A" w:rsidP="00CE438A">
      <w:pPr>
        <w:pStyle w:val="formul4"/>
        <w:spacing w:line="360" w:lineRule="auto"/>
        <w:rPr>
          <w:rFonts w:ascii="Arial" w:hAnsi="Arial" w:cs="Arial"/>
          <w:sz w:val="24"/>
          <w:szCs w:val="24"/>
          <w:lang w:val="it-IT"/>
        </w:rPr>
      </w:pPr>
    </w:p>
    <w:p w:rsidR="00307C26" w:rsidRDefault="00A14C19" w:rsidP="00CE438A">
      <w:pPr>
        <w:pStyle w:val="formul4"/>
        <w:tabs>
          <w:tab w:val="right" w:pos="6803"/>
        </w:tabs>
        <w:spacing w:line="360" w:lineRule="auto"/>
        <w:jc w:val="left"/>
        <w:rPr>
          <w:rFonts w:ascii="Arial" w:hAnsi="Arial" w:cs="Arial"/>
          <w:sz w:val="24"/>
          <w:szCs w:val="24"/>
          <w:lang w:val="it-IT"/>
        </w:rPr>
      </w:pPr>
      <w:r>
        <w:rPr>
          <w:rFonts w:ascii="Arial" w:hAnsi="Arial" w:cs="Arial"/>
          <w:sz w:val="24"/>
          <w:szCs w:val="24"/>
          <w:lang w:val="it-IT"/>
        </w:rPr>
        <w:t>Il direttore</w:t>
      </w:r>
      <w:bookmarkStart w:id="0" w:name="_GoBack"/>
      <w:bookmarkEnd w:id="0"/>
    </w:p>
    <w:p w:rsidR="00087EE9" w:rsidRPr="00AA2801" w:rsidRDefault="00E8545E" w:rsidP="00CE438A">
      <w:pPr>
        <w:pStyle w:val="formul4"/>
        <w:tabs>
          <w:tab w:val="right" w:pos="6803"/>
        </w:tabs>
        <w:spacing w:line="360" w:lineRule="auto"/>
        <w:jc w:val="left"/>
        <w:rPr>
          <w:rFonts w:ascii="Arial" w:hAnsi="Arial" w:cs="Arial"/>
          <w:sz w:val="24"/>
          <w:szCs w:val="24"/>
          <w:lang w:val="it-IT"/>
        </w:rPr>
      </w:pPr>
      <w:r>
        <w:rPr>
          <w:rFonts w:ascii="Arial" w:hAnsi="Arial" w:cs="Arial"/>
          <w:sz w:val="24"/>
          <w:szCs w:val="24"/>
          <w:lang w:val="it-IT"/>
        </w:rPr>
        <w:t>Dr</w:t>
      </w:r>
      <w:r w:rsidR="000623F6">
        <w:rPr>
          <w:rFonts w:ascii="Arial" w:hAnsi="Arial" w:cs="Arial"/>
          <w:sz w:val="24"/>
          <w:szCs w:val="24"/>
          <w:lang w:val="it-IT"/>
        </w:rPr>
        <w:t>.</w:t>
      </w:r>
      <w:r w:rsidR="00182D82">
        <w:rPr>
          <w:rFonts w:ascii="Arial" w:hAnsi="Arial" w:cs="Arial"/>
          <w:sz w:val="24"/>
          <w:szCs w:val="24"/>
          <w:lang w:val="it-IT"/>
        </w:rPr>
        <w:t xml:space="preserve"> </w:t>
      </w:r>
      <w:r w:rsidR="000C438E">
        <w:rPr>
          <w:rFonts w:ascii="Arial" w:hAnsi="Arial" w:cs="Arial"/>
          <w:sz w:val="24"/>
          <w:szCs w:val="24"/>
          <w:lang w:val="it-IT"/>
        </w:rPr>
        <w:t>Calogero Anselmo</w:t>
      </w:r>
    </w:p>
    <w:p w:rsidR="00087EE9" w:rsidRPr="00D1250E" w:rsidRDefault="00087EE9" w:rsidP="00CE438A">
      <w:pPr>
        <w:pStyle w:val="formul1"/>
        <w:tabs>
          <w:tab w:val="right" w:pos="6803"/>
        </w:tabs>
        <w:spacing w:before="0" w:line="360" w:lineRule="auto"/>
        <w:ind w:right="0"/>
        <w:jc w:val="left"/>
        <w:rPr>
          <w:rFonts w:ascii="Arial" w:hAnsi="Arial" w:cs="Arial"/>
          <w:b w:val="0"/>
          <w:bCs w:val="0"/>
          <w:sz w:val="24"/>
          <w:szCs w:val="24"/>
          <w:lang w:val="it-IT"/>
        </w:rPr>
      </w:pPr>
      <w:r w:rsidRPr="00AA2801">
        <w:rPr>
          <w:rFonts w:ascii="Arial" w:hAnsi="Arial" w:cs="Arial"/>
          <w:b w:val="0"/>
          <w:bCs w:val="0"/>
          <w:sz w:val="24"/>
          <w:szCs w:val="24"/>
          <w:lang w:val="it-IT"/>
        </w:rPr>
        <w:t xml:space="preserve">...............................          </w:t>
      </w:r>
      <w:r w:rsidR="00B54F86">
        <w:rPr>
          <w:rFonts w:ascii="Arial" w:hAnsi="Arial" w:cs="Arial"/>
          <w:b w:val="0"/>
          <w:bCs w:val="0"/>
          <w:sz w:val="24"/>
          <w:szCs w:val="24"/>
          <w:lang w:val="it-IT"/>
        </w:rPr>
        <w:t xml:space="preserve">                              </w:t>
      </w:r>
    </w:p>
    <w:p w:rsidR="002E6302" w:rsidRPr="00D1250E" w:rsidRDefault="002E6302" w:rsidP="00CE438A">
      <w:pPr>
        <w:spacing w:line="360" w:lineRule="auto"/>
        <w:rPr>
          <w:rFonts w:ascii="Arial" w:hAnsi="Arial" w:cs="Arial"/>
        </w:rPr>
      </w:pPr>
    </w:p>
    <w:sectPr w:rsidR="002E6302" w:rsidRPr="00D1250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0A" w:rsidRDefault="00B6070A" w:rsidP="00087EE9">
      <w:r>
        <w:separator/>
      </w:r>
    </w:p>
  </w:endnote>
  <w:endnote w:type="continuationSeparator" w:id="0">
    <w:p w:rsidR="00B6070A" w:rsidRDefault="00B6070A" w:rsidP="000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Pidipagina"/>
    </w:pPr>
    <w:r>
      <w:fldChar w:fldCharType="begin"/>
    </w:r>
    <w:r>
      <w:instrText>PAGE   \* MERGEFORMAT</w:instrText>
    </w:r>
    <w:r>
      <w:fldChar w:fldCharType="separate"/>
    </w:r>
    <w:r w:rsidR="00A14C19">
      <w:rPr>
        <w:noProof/>
      </w:rPr>
      <w:t>6</w:t>
    </w:r>
    <w:r>
      <w:fldChar w:fldCharType="end"/>
    </w:r>
  </w:p>
  <w:p w:rsidR="002841A6" w:rsidRDefault="002841A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0A" w:rsidRDefault="00B6070A" w:rsidP="00087EE9">
      <w:r>
        <w:separator/>
      </w:r>
    </w:p>
  </w:footnote>
  <w:footnote w:type="continuationSeparator" w:id="0">
    <w:p w:rsidR="00B6070A" w:rsidRDefault="00B6070A" w:rsidP="0008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A6" w:rsidRDefault="002841A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E9"/>
    <w:rsid w:val="000068C9"/>
    <w:rsid w:val="00011F9E"/>
    <w:rsid w:val="000154DA"/>
    <w:rsid w:val="00027877"/>
    <w:rsid w:val="00031B5B"/>
    <w:rsid w:val="00031F5A"/>
    <w:rsid w:val="000447BE"/>
    <w:rsid w:val="000458B0"/>
    <w:rsid w:val="00054841"/>
    <w:rsid w:val="000623F6"/>
    <w:rsid w:val="000668C7"/>
    <w:rsid w:val="00070694"/>
    <w:rsid w:val="00071357"/>
    <w:rsid w:val="0007592C"/>
    <w:rsid w:val="00076CEC"/>
    <w:rsid w:val="00077990"/>
    <w:rsid w:val="00080ED4"/>
    <w:rsid w:val="00083A90"/>
    <w:rsid w:val="00083DD6"/>
    <w:rsid w:val="00084385"/>
    <w:rsid w:val="00087A3E"/>
    <w:rsid w:val="00087EE9"/>
    <w:rsid w:val="00093169"/>
    <w:rsid w:val="000A0D86"/>
    <w:rsid w:val="000B3C26"/>
    <w:rsid w:val="000B4616"/>
    <w:rsid w:val="000B7EF3"/>
    <w:rsid w:val="000C149A"/>
    <w:rsid w:val="000C438E"/>
    <w:rsid w:val="000C50D9"/>
    <w:rsid w:val="000E1FB3"/>
    <w:rsid w:val="000E24ED"/>
    <w:rsid w:val="000E3B0C"/>
    <w:rsid w:val="000E6066"/>
    <w:rsid w:val="000F09D0"/>
    <w:rsid w:val="000F1E43"/>
    <w:rsid w:val="000F3991"/>
    <w:rsid w:val="001005DC"/>
    <w:rsid w:val="0010284B"/>
    <w:rsid w:val="00105DEA"/>
    <w:rsid w:val="00106FD5"/>
    <w:rsid w:val="001074E2"/>
    <w:rsid w:val="0011023B"/>
    <w:rsid w:val="00112B4C"/>
    <w:rsid w:val="00112C59"/>
    <w:rsid w:val="001132A2"/>
    <w:rsid w:val="001168D2"/>
    <w:rsid w:val="00123DBF"/>
    <w:rsid w:val="001241DF"/>
    <w:rsid w:val="001263B0"/>
    <w:rsid w:val="00126433"/>
    <w:rsid w:val="00144A3B"/>
    <w:rsid w:val="00144D9F"/>
    <w:rsid w:val="00147F2C"/>
    <w:rsid w:val="00154B7B"/>
    <w:rsid w:val="00155212"/>
    <w:rsid w:val="00155B5C"/>
    <w:rsid w:val="001625F8"/>
    <w:rsid w:val="00163C2F"/>
    <w:rsid w:val="00165140"/>
    <w:rsid w:val="00165489"/>
    <w:rsid w:val="0016677D"/>
    <w:rsid w:val="00170814"/>
    <w:rsid w:val="001739D7"/>
    <w:rsid w:val="00177988"/>
    <w:rsid w:val="00182D82"/>
    <w:rsid w:val="00184E2C"/>
    <w:rsid w:val="0018552B"/>
    <w:rsid w:val="00186A84"/>
    <w:rsid w:val="00192D38"/>
    <w:rsid w:val="00196097"/>
    <w:rsid w:val="00197B5D"/>
    <w:rsid w:val="001B0F1D"/>
    <w:rsid w:val="001B26CE"/>
    <w:rsid w:val="001C1486"/>
    <w:rsid w:val="001C1E0E"/>
    <w:rsid w:val="001C25F7"/>
    <w:rsid w:val="001C3C9F"/>
    <w:rsid w:val="001C5A07"/>
    <w:rsid w:val="001D2226"/>
    <w:rsid w:val="001E09CA"/>
    <w:rsid w:val="001E545C"/>
    <w:rsid w:val="001E6DD8"/>
    <w:rsid w:val="001F4378"/>
    <w:rsid w:val="002030B7"/>
    <w:rsid w:val="0020580F"/>
    <w:rsid w:val="0021274F"/>
    <w:rsid w:val="00221065"/>
    <w:rsid w:val="00224FB9"/>
    <w:rsid w:val="002270ED"/>
    <w:rsid w:val="00234870"/>
    <w:rsid w:val="0023550F"/>
    <w:rsid w:val="00250AD3"/>
    <w:rsid w:val="00253A8D"/>
    <w:rsid w:val="00255247"/>
    <w:rsid w:val="0025609B"/>
    <w:rsid w:val="002637A8"/>
    <w:rsid w:val="002809AE"/>
    <w:rsid w:val="00280EEF"/>
    <w:rsid w:val="00282DA7"/>
    <w:rsid w:val="002841A6"/>
    <w:rsid w:val="00284C9E"/>
    <w:rsid w:val="00286AA0"/>
    <w:rsid w:val="002877CC"/>
    <w:rsid w:val="00287BBD"/>
    <w:rsid w:val="0029344E"/>
    <w:rsid w:val="00296B05"/>
    <w:rsid w:val="002A19F3"/>
    <w:rsid w:val="002A2022"/>
    <w:rsid w:val="002A680C"/>
    <w:rsid w:val="002B28E1"/>
    <w:rsid w:val="002B7094"/>
    <w:rsid w:val="002C5922"/>
    <w:rsid w:val="002E2918"/>
    <w:rsid w:val="002E3FA5"/>
    <w:rsid w:val="002E3FA8"/>
    <w:rsid w:val="002E4030"/>
    <w:rsid w:val="002E6302"/>
    <w:rsid w:val="002F003E"/>
    <w:rsid w:val="002F143E"/>
    <w:rsid w:val="002F4CE7"/>
    <w:rsid w:val="003003A8"/>
    <w:rsid w:val="00301B6B"/>
    <w:rsid w:val="0030214B"/>
    <w:rsid w:val="00304DAC"/>
    <w:rsid w:val="003063C0"/>
    <w:rsid w:val="00306D30"/>
    <w:rsid w:val="00307A6D"/>
    <w:rsid w:val="00307C26"/>
    <w:rsid w:val="00310AB7"/>
    <w:rsid w:val="0031188E"/>
    <w:rsid w:val="00316F80"/>
    <w:rsid w:val="003215A0"/>
    <w:rsid w:val="003311F3"/>
    <w:rsid w:val="00331C0D"/>
    <w:rsid w:val="00334A79"/>
    <w:rsid w:val="00336D83"/>
    <w:rsid w:val="00341026"/>
    <w:rsid w:val="00341CA6"/>
    <w:rsid w:val="00341FA0"/>
    <w:rsid w:val="00354812"/>
    <w:rsid w:val="00355095"/>
    <w:rsid w:val="00362419"/>
    <w:rsid w:val="0036676A"/>
    <w:rsid w:val="00370248"/>
    <w:rsid w:val="003867FA"/>
    <w:rsid w:val="003929D0"/>
    <w:rsid w:val="00395CBC"/>
    <w:rsid w:val="003A266D"/>
    <w:rsid w:val="003A4B88"/>
    <w:rsid w:val="003A639D"/>
    <w:rsid w:val="003B2269"/>
    <w:rsid w:val="003B2CB7"/>
    <w:rsid w:val="003B5CB8"/>
    <w:rsid w:val="003B64ED"/>
    <w:rsid w:val="003C19BA"/>
    <w:rsid w:val="003C3E39"/>
    <w:rsid w:val="003C7031"/>
    <w:rsid w:val="003D0C85"/>
    <w:rsid w:val="003D5B9C"/>
    <w:rsid w:val="003D658B"/>
    <w:rsid w:val="003E17E6"/>
    <w:rsid w:val="003E63D6"/>
    <w:rsid w:val="003F0474"/>
    <w:rsid w:val="003F1A6E"/>
    <w:rsid w:val="00402716"/>
    <w:rsid w:val="00404686"/>
    <w:rsid w:val="004050E3"/>
    <w:rsid w:val="00411FE1"/>
    <w:rsid w:val="00420729"/>
    <w:rsid w:val="0042190C"/>
    <w:rsid w:val="00431644"/>
    <w:rsid w:val="0043396D"/>
    <w:rsid w:val="00435BC1"/>
    <w:rsid w:val="0043686B"/>
    <w:rsid w:val="00443593"/>
    <w:rsid w:val="00443B50"/>
    <w:rsid w:val="00443EBB"/>
    <w:rsid w:val="00452BD2"/>
    <w:rsid w:val="004539A6"/>
    <w:rsid w:val="004541DF"/>
    <w:rsid w:val="004704FC"/>
    <w:rsid w:val="00471C9A"/>
    <w:rsid w:val="00473DB8"/>
    <w:rsid w:val="0047498E"/>
    <w:rsid w:val="004800CC"/>
    <w:rsid w:val="004801AE"/>
    <w:rsid w:val="00480B0F"/>
    <w:rsid w:val="004846C6"/>
    <w:rsid w:val="00492669"/>
    <w:rsid w:val="00494E36"/>
    <w:rsid w:val="00496B68"/>
    <w:rsid w:val="004A3B9F"/>
    <w:rsid w:val="004A6D64"/>
    <w:rsid w:val="004A7F22"/>
    <w:rsid w:val="004C092D"/>
    <w:rsid w:val="004C5080"/>
    <w:rsid w:val="004C5985"/>
    <w:rsid w:val="004E1735"/>
    <w:rsid w:val="004E1C56"/>
    <w:rsid w:val="004E46F6"/>
    <w:rsid w:val="004E66C8"/>
    <w:rsid w:val="004F314D"/>
    <w:rsid w:val="004F38C3"/>
    <w:rsid w:val="004F4879"/>
    <w:rsid w:val="004F6E74"/>
    <w:rsid w:val="00505E7A"/>
    <w:rsid w:val="00505E82"/>
    <w:rsid w:val="00512E63"/>
    <w:rsid w:val="005142D6"/>
    <w:rsid w:val="00517E13"/>
    <w:rsid w:val="00526896"/>
    <w:rsid w:val="00540CFB"/>
    <w:rsid w:val="00541D3B"/>
    <w:rsid w:val="0054754F"/>
    <w:rsid w:val="00550B85"/>
    <w:rsid w:val="00550C20"/>
    <w:rsid w:val="0055485E"/>
    <w:rsid w:val="00577CA8"/>
    <w:rsid w:val="00580501"/>
    <w:rsid w:val="005824E3"/>
    <w:rsid w:val="00587C5D"/>
    <w:rsid w:val="00593967"/>
    <w:rsid w:val="00594770"/>
    <w:rsid w:val="005968D9"/>
    <w:rsid w:val="005A1FAE"/>
    <w:rsid w:val="005A32D9"/>
    <w:rsid w:val="005A3320"/>
    <w:rsid w:val="005B7B78"/>
    <w:rsid w:val="005C0C54"/>
    <w:rsid w:val="005C12D3"/>
    <w:rsid w:val="005D36AD"/>
    <w:rsid w:val="005D4522"/>
    <w:rsid w:val="005E1227"/>
    <w:rsid w:val="005F1BF3"/>
    <w:rsid w:val="005F266C"/>
    <w:rsid w:val="00602180"/>
    <w:rsid w:val="006065DC"/>
    <w:rsid w:val="00607EA2"/>
    <w:rsid w:val="00607F3D"/>
    <w:rsid w:val="00610FC7"/>
    <w:rsid w:val="0061112B"/>
    <w:rsid w:val="006129D5"/>
    <w:rsid w:val="00633F81"/>
    <w:rsid w:val="0063584F"/>
    <w:rsid w:val="0063793B"/>
    <w:rsid w:val="0064230E"/>
    <w:rsid w:val="006444A1"/>
    <w:rsid w:val="00653D9E"/>
    <w:rsid w:val="006570D8"/>
    <w:rsid w:val="0065795C"/>
    <w:rsid w:val="006619CF"/>
    <w:rsid w:val="00670381"/>
    <w:rsid w:val="006712A0"/>
    <w:rsid w:val="006727CF"/>
    <w:rsid w:val="006761D1"/>
    <w:rsid w:val="00693CF0"/>
    <w:rsid w:val="006974D8"/>
    <w:rsid w:val="006A0B27"/>
    <w:rsid w:val="006B10AB"/>
    <w:rsid w:val="006B49A3"/>
    <w:rsid w:val="006C3C62"/>
    <w:rsid w:val="006C655E"/>
    <w:rsid w:val="006D0D19"/>
    <w:rsid w:val="006D5795"/>
    <w:rsid w:val="006F12DD"/>
    <w:rsid w:val="007016EF"/>
    <w:rsid w:val="007023E8"/>
    <w:rsid w:val="007104DA"/>
    <w:rsid w:val="00712532"/>
    <w:rsid w:val="00725F2A"/>
    <w:rsid w:val="00726BE3"/>
    <w:rsid w:val="00746C55"/>
    <w:rsid w:val="00747E5B"/>
    <w:rsid w:val="0075374C"/>
    <w:rsid w:val="00754031"/>
    <w:rsid w:val="0075408A"/>
    <w:rsid w:val="00754D28"/>
    <w:rsid w:val="007577D0"/>
    <w:rsid w:val="007626A3"/>
    <w:rsid w:val="0077210E"/>
    <w:rsid w:val="007764E0"/>
    <w:rsid w:val="0078316B"/>
    <w:rsid w:val="00794DA7"/>
    <w:rsid w:val="007A7C47"/>
    <w:rsid w:val="007A7CB6"/>
    <w:rsid w:val="007B5B5E"/>
    <w:rsid w:val="007B606F"/>
    <w:rsid w:val="007C046F"/>
    <w:rsid w:val="007C064C"/>
    <w:rsid w:val="007C0CBF"/>
    <w:rsid w:val="007C1A42"/>
    <w:rsid w:val="007C5802"/>
    <w:rsid w:val="007C7B92"/>
    <w:rsid w:val="007D1689"/>
    <w:rsid w:val="007D18FC"/>
    <w:rsid w:val="007D4B5C"/>
    <w:rsid w:val="007D591F"/>
    <w:rsid w:val="007D78F0"/>
    <w:rsid w:val="007E0C90"/>
    <w:rsid w:val="007E7917"/>
    <w:rsid w:val="007E7BF1"/>
    <w:rsid w:val="007F49BA"/>
    <w:rsid w:val="007F657F"/>
    <w:rsid w:val="007F67D3"/>
    <w:rsid w:val="007F6B54"/>
    <w:rsid w:val="00802507"/>
    <w:rsid w:val="00806B2C"/>
    <w:rsid w:val="00812936"/>
    <w:rsid w:val="00814283"/>
    <w:rsid w:val="00814DF6"/>
    <w:rsid w:val="00822D4F"/>
    <w:rsid w:val="00826082"/>
    <w:rsid w:val="0083570F"/>
    <w:rsid w:val="008428B1"/>
    <w:rsid w:val="00843417"/>
    <w:rsid w:val="00843C68"/>
    <w:rsid w:val="00845B02"/>
    <w:rsid w:val="00854EAA"/>
    <w:rsid w:val="00861541"/>
    <w:rsid w:val="00867679"/>
    <w:rsid w:val="008712D7"/>
    <w:rsid w:val="00872AB9"/>
    <w:rsid w:val="00872D28"/>
    <w:rsid w:val="008734CB"/>
    <w:rsid w:val="008753C6"/>
    <w:rsid w:val="008861F1"/>
    <w:rsid w:val="0088642E"/>
    <w:rsid w:val="00886E34"/>
    <w:rsid w:val="00886FF5"/>
    <w:rsid w:val="008B0A36"/>
    <w:rsid w:val="008C3B78"/>
    <w:rsid w:val="008C3BA9"/>
    <w:rsid w:val="008D3869"/>
    <w:rsid w:val="008D6275"/>
    <w:rsid w:val="008D6D99"/>
    <w:rsid w:val="008E27C1"/>
    <w:rsid w:val="008E52EA"/>
    <w:rsid w:val="008E5E41"/>
    <w:rsid w:val="008F29C4"/>
    <w:rsid w:val="008F3E72"/>
    <w:rsid w:val="008F58D6"/>
    <w:rsid w:val="008F754D"/>
    <w:rsid w:val="00903D97"/>
    <w:rsid w:val="00904867"/>
    <w:rsid w:val="00905B81"/>
    <w:rsid w:val="00910CBB"/>
    <w:rsid w:val="00911639"/>
    <w:rsid w:val="00920C8B"/>
    <w:rsid w:val="00923FA3"/>
    <w:rsid w:val="00933173"/>
    <w:rsid w:val="009333EC"/>
    <w:rsid w:val="00934839"/>
    <w:rsid w:val="00936901"/>
    <w:rsid w:val="00956A1A"/>
    <w:rsid w:val="00957E16"/>
    <w:rsid w:val="00966E08"/>
    <w:rsid w:val="00967EA6"/>
    <w:rsid w:val="00974AAB"/>
    <w:rsid w:val="00984E31"/>
    <w:rsid w:val="00986DE2"/>
    <w:rsid w:val="00994D1C"/>
    <w:rsid w:val="009964E5"/>
    <w:rsid w:val="009A5B51"/>
    <w:rsid w:val="009B0B60"/>
    <w:rsid w:val="009B28DD"/>
    <w:rsid w:val="009B7D67"/>
    <w:rsid w:val="009C2666"/>
    <w:rsid w:val="009C2887"/>
    <w:rsid w:val="009C3EDB"/>
    <w:rsid w:val="009D388A"/>
    <w:rsid w:val="009D7773"/>
    <w:rsid w:val="009E27BF"/>
    <w:rsid w:val="009E2CD2"/>
    <w:rsid w:val="009E5ACD"/>
    <w:rsid w:val="009F239F"/>
    <w:rsid w:val="009F3863"/>
    <w:rsid w:val="009F4BF0"/>
    <w:rsid w:val="00A01F46"/>
    <w:rsid w:val="00A030A6"/>
    <w:rsid w:val="00A03404"/>
    <w:rsid w:val="00A12790"/>
    <w:rsid w:val="00A14A92"/>
    <w:rsid w:val="00A14C19"/>
    <w:rsid w:val="00A17424"/>
    <w:rsid w:val="00A249B8"/>
    <w:rsid w:val="00A426DF"/>
    <w:rsid w:val="00A442DE"/>
    <w:rsid w:val="00A53629"/>
    <w:rsid w:val="00A662F1"/>
    <w:rsid w:val="00A76CC0"/>
    <w:rsid w:val="00A81C8B"/>
    <w:rsid w:val="00A81C9C"/>
    <w:rsid w:val="00A81DBB"/>
    <w:rsid w:val="00A835E2"/>
    <w:rsid w:val="00A86D45"/>
    <w:rsid w:val="00A87430"/>
    <w:rsid w:val="00A90770"/>
    <w:rsid w:val="00AA05A1"/>
    <w:rsid w:val="00AA1451"/>
    <w:rsid w:val="00AA2103"/>
    <w:rsid w:val="00AA24FC"/>
    <w:rsid w:val="00AA2801"/>
    <w:rsid w:val="00AB70AE"/>
    <w:rsid w:val="00AC5A1E"/>
    <w:rsid w:val="00AC7B07"/>
    <w:rsid w:val="00AD11AA"/>
    <w:rsid w:val="00AD3C3A"/>
    <w:rsid w:val="00AD659E"/>
    <w:rsid w:val="00AD674F"/>
    <w:rsid w:val="00AE7553"/>
    <w:rsid w:val="00AF3774"/>
    <w:rsid w:val="00B006B1"/>
    <w:rsid w:val="00B01605"/>
    <w:rsid w:val="00B03017"/>
    <w:rsid w:val="00B04219"/>
    <w:rsid w:val="00B04950"/>
    <w:rsid w:val="00B16154"/>
    <w:rsid w:val="00B22FD1"/>
    <w:rsid w:val="00B31FB2"/>
    <w:rsid w:val="00B54F86"/>
    <w:rsid w:val="00B6070A"/>
    <w:rsid w:val="00B6173D"/>
    <w:rsid w:val="00B636C1"/>
    <w:rsid w:val="00B652AC"/>
    <w:rsid w:val="00B74385"/>
    <w:rsid w:val="00B7512F"/>
    <w:rsid w:val="00B76A7B"/>
    <w:rsid w:val="00B76C35"/>
    <w:rsid w:val="00B84205"/>
    <w:rsid w:val="00B86E80"/>
    <w:rsid w:val="00B8770C"/>
    <w:rsid w:val="00B87D50"/>
    <w:rsid w:val="00B91251"/>
    <w:rsid w:val="00BA35F8"/>
    <w:rsid w:val="00BB42C2"/>
    <w:rsid w:val="00BC17D0"/>
    <w:rsid w:val="00BC2AEF"/>
    <w:rsid w:val="00BC5068"/>
    <w:rsid w:val="00BD50F1"/>
    <w:rsid w:val="00BD58E7"/>
    <w:rsid w:val="00BD76C8"/>
    <w:rsid w:val="00BE1B01"/>
    <w:rsid w:val="00BF109C"/>
    <w:rsid w:val="00C01993"/>
    <w:rsid w:val="00C06653"/>
    <w:rsid w:val="00C24E01"/>
    <w:rsid w:val="00C27A7E"/>
    <w:rsid w:val="00C314AD"/>
    <w:rsid w:val="00C36873"/>
    <w:rsid w:val="00C51288"/>
    <w:rsid w:val="00C623D6"/>
    <w:rsid w:val="00C66EEA"/>
    <w:rsid w:val="00C70013"/>
    <w:rsid w:val="00C71BA4"/>
    <w:rsid w:val="00C75356"/>
    <w:rsid w:val="00C757F1"/>
    <w:rsid w:val="00C85026"/>
    <w:rsid w:val="00CC755C"/>
    <w:rsid w:val="00CD02F0"/>
    <w:rsid w:val="00CD2937"/>
    <w:rsid w:val="00CD2E40"/>
    <w:rsid w:val="00CE01F3"/>
    <w:rsid w:val="00CE433B"/>
    <w:rsid w:val="00CE438A"/>
    <w:rsid w:val="00CE7410"/>
    <w:rsid w:val="00CE7E75"/>
    <w:rsid w:val="00CF4D81"/>
    <w:rsid w:val="00CF4E0C"/>
    <w:rsid w:val="00CF5C8A"/>
    <w:rsid w:val="00D04505"/>
    <w:rsid w:val="00D048F7"/>
    <w:rsid w:val="00D05712"/>
    <w:rsid w:val="00D10A29"/>
    <w:rsid w:val="00D11B7F"/>
    <w:rsid w:val="00D1250E"/>
    <w:rsid w:val="00D127A8"/>
    <w:rsid w:val="00D16DC9"/>
    <w:rsid w:val="00D21326"/>
    <w:rsid w:val="00D2740A"/>
    <w:rsid w:val="00D3358C"/>
    <w:rsid w:val="00D41C1C"/>
    <w:rsid w:val="00D41F3B"/>
    <w:rsid w:val="00D523C3"/>
    <w:rsid w:val="00D56B91"/>
    <w:rsid w:val="00D706BF"/>
    <w:rsid w:val="00D708A9"/>
    <w:rsid w:val="00D74380"/>
    <w:rsid w:val="00D80CFA"/>
    <w:rsid w:val="00D87E75"/>
    <w:rsid w:val="00D94258"/>
    <w:rsid w:val="00D94734"/>
    <w:rsid w:val="00DB0A7D"/>
    <w:rsid w:val="00DB49C8"/>
    <w:rsid w:val="00DC5E9F"/>
    <w:rsid w:val="00DC610C"/>
    <w:rsid w:val="00DD04B0"/>
    <w:rsid w:val="00DD3155"/>
    <w:rsid w:val="00DE0175"/>
    <w:rsid w:val="00DF40F0"/>
    <w:rsid w:val="00DF6348"/>
    <w:rsid w:val="00E06793"/>
    <w:rsid w:val="00E06E6A"/>
    <w:rsid w:val="00E155A0"/>
    <w:rsid w:val="00E16D3A"/>
    <w:rsid w:val="00E17815"/>
    <w:rsid w:val="00E2488A"/>
    <w:rsid w:val="00E32D3A"/>
    <w:rsid w:val="00E33064"/>
    <w:rsid w:val="00E361F3"/>
    <w:rsid w:val="00E41A5D"/>
    <w:rsid w:val="00E4526B"/>
    <w:rsid w:val="00E708C3"/>
    <w:rsid w:val="00E81BFF"/>
    <w:rsid w:val="00E81F0E"/>
    <w:rsid w:val="00E83CDF"/>
    <w:rsid w:val="00E8545E"/>
    <w:rsid w:val="00E878F8"/>
    <w:rsid w:val="00E93D08"/>
    <w:rsid w:val="00E93EEC"/>
    <w:rsid w:val="00EA795B"/>
    <w:rsid w:val="00EB003B"/>
    <w:rsid w:val="00EB42C7"/>
    <w:rsid w:val="00EB5CCB"/>
    <w:rsid w:val="00ED1E90"/>
    <w:rsid w:val="00ED28E6"/>
    <w:rsid w:val="00EE1F5D"/>
    <w:rsid w:val="00EE650E"/>
    <w:rsid w:val="00EE7716"/>
    <w:rsid w:val="00EF4A10"/>
    <w:rsid w:val="00F00B1E"/>
    <w:rsid w:val="00F01B80"/>
    <w:rsid w:val="00F07A57"/>
    <w:rsid w:val="00F1475A"/>
    <w:rsid w:val="00F21A5A"/>
    <w:rsid w:val="00F250DC"/>
    <w:rsid w:val="00F26840"/>
    <w:rsid w:val="00F27FEF"/>
    <w:rsid w:val="00F42629"/>
    <w:rsid w:val="00F46E72"/>
    <w:rsid w:val="00F47E79"/>
    <w:rsid w:val="00F502C8"/>
    <w:rsid w:val="00F55BAA"/>
    <w:rsid w:val="00F640BB"/>
    <w:rsid w:val="00F72583"/>
    <w:rsid w:val="00F73CD8"/>
    <w:rsid w:val="00F86B78"/>
    <w:rsid w:val="00FA20FE"/>
    <w:rsid w:val="00FB4A12"/>
    <w:rsid w:val="00FC3A47"/>
    <w:rsid w:val="00FC4B1F"/>
    <w:rsid w:val="00FC54D1"/>
    <w:rsid w:val="00FC68CA"/>
    <w:rsid w:val="00FC771D"/>
    <w:rsid w:val="00FD31FF"/>
    <w:rsid w:val="00FD35B5"/>
    <w:rsid w:val="00FD6749"/>
    <w:rsid w:val="00FE2A19"/>
    <w:rsid w:val="00FE348F"/>
    <w:rsid w:val="00FF5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2C6D39C-2278-44FA-A4ED-9FEFE0A5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7EE9"/>
    <w:pPr>
      <w:spacing w:after="0" w:line="240" w:lineRule="auto"/>
    </w:pPr>
    <w:rPr>
      <w:rFonts w:ascii="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D1250E"/>
    <w:pPr>
      <w:keepNext/>
      <w:keepLines/>
      <w:spacing w:before="200"/>
      <w:outlineLvl w:val="1"/>
    </w:pPr>
    <w:rPr>
      <w:rFonts w:asciiTheme="majorHAnsi" w:eastAsiaTheme="majorEastAsia" w:hAnsiTheme="majorHAnsi"/>
      <w:b/>
      <w:bCs/>
      <w:color w:val="4F81BD" w:themeColor="accent1"/>
      <w:sz w:val="26"/>
      <w:szCs w:val="26"/>
    </w:rPr>
  </w:style>
  <w:style w:type="paragraph" w:styleId="Titolo4">
    <w:name w:val="heading 4"/>
    <w:basedOn w:val="Normale"/>
    <w:next w:val="Normale"/>
    <w:link w:val="Titolo4Carattere"/>
    <w:uiPriority w:val="9"/>
    <w:qFormat/>
    <w:rsid w:val="00FD31FF"/>
    <w:pPr>
      <w:keepNext/>
      <w:autoSpaceDE w:val="0"/>
      <w:autoSpaceDN w:val="0"/>
      <w:ind w:left="284" w:right="333"/>
      <w:jc w:val="both"/>
      <w:outlineLvl w:val="3"/>
    </w:pPr>
    <w:rPr>
      <w:rFonts w:ascii="Arial Narrow" w:hAnsi="Arial Narrow" w:cs="Arial Narrow"/>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sid w:val="00D1250E"/>
    <w:rPr>
      <w:rFonts w:asciiTheme="majorHAnsi" w:eastAsiaTheme="majorEastAsia" w:hAnsiTheme="majorHAnsi" w:cs="Times New Roman"/>
      <w:b/>
      <w:bCs/>
      <w:color w:val="4F81BD" w:themeColor="accent1"/>
      <w:sz w:val="26"/>
      <w:szCs w:val="26"/>
      <w:lang w:val="x-none" w:eastAsia="it-IT"/>
    </w:rPr>
  </w:style>
  <w:style w:type="character" w:customStyle="1" w:styleId="Titolo4Carattere">
    <w:name w:val="Titolo 4 Carattere"/>
    <w:basedOn w:val="Carpredefinitoparagrafo"/>
    <w:link w:val="Titolo4"/>
    <w:uiPriority w:val="9"/>
    <w:locked/>
    <w:rsid w:val="00FD31FF"/>
    <w:rPr>
      <w:rFonts w:ascii="Arial Narrow" w:hAnsi="Arial Narrow" w:cs="Arial Narrow"/>
      <w:i/>
      <w:iCs/>
      <w:lang w:val="x-none" w:eastAsia="it-IT"/>
    </w:rPr>
  </w:style>
  <w:style w:type="paragraph" w:customStyle="1" w:styleId="note1">
    <w:name w:val="note_1"/>
    <w:rsid w:val="00087EE9"/>
    <w:pPr>
      <w:autoSpaceDE w:val="0"/>
      <w:autoSpaceDN w:val="0"/>
      <w:adjustRightInd w:val="0"/>
      <w:spacing w:after="0" w:line="240" w:lineRule="auto"/>
      <w:ind w:firstLine="342"/>
      <w:jc w:val="both"/>
    </w:pPr>
    <w:rPr>
      <w:rFonts w:ascii="Times New Roman" w:hAnsi="Times New Roman" w:cs="Times New Roman"/>
      <w:sz w:val="18"/>
      <w:szCs w:val="18"/>
      <w:lang w:val="en-US" w:eastAsia="it-IT"/>
    </w:rPr>
  </w:style>
  <w:style w:type="paragraph" w:customStyle="1" w:styleId="formul1">
    <w:name w:val="formul_1"/>
    <w:rsid w:val="00087EE9"/>
    <w:pPr>
      <w:widowControl w:val="0"/>
      <w:autoSpaceDE w:val="0"/>
      <w:autoSpaceDN w:val="0"/>
      <w:adjustRightInd w:val="0"/>
      <w:spacing w:before="834" w:after="0" w:line="240" w:lineRule="auto"/>
      <w:ind w:right="6433"/>
      <w:jc w:val="center"/>
    </w:pPr>
    <w:rPr>
      <w:rFonts w:ascii="Times New Roman" w:hAnsi="Times New Roman" w:cs="Times New Roman"/>
      <w:b/>
      <w:bCs/>
      <w:lang w:val="en-US" w:eastAsia="it-IT"/>
    </w:rPr>
  </w:style>
  <w:style w:type="paragraph" w:customStyle="1" w:styleId="formul2">
    <w:name w:val="formul_2"/>
    <w:rsid w:val="00087EE9"/>
    <w:pPr>
      <w:widowControl w:val="0"/>
      <w:autoSpaceDE w:val="0"/>
      <w:autoSpaceDN w:val="0"/>
      <w:adjustRightInd w:val="0"/>
      <w:spacing w:after="0" w:line="240" w:lineRule="auto"/>
      <w:ind w:left="642"/>
      <w:jc w:val="both"/>
    </w:pPr>
    <w:rPr>
      <w:rFonts w:ascii="Times New Roman" w:hAnsi="Times New Roman" w:cs="Times New Roman"/>
      <w:b/>
      <w:bCs/>
      <w:caps/>
      <w:lang w:val="en-US" w:eastAsia="it-IT"/>
    </w:rPr>
  </w:style>
  <w:style w:type="paragraph" w:customStyle="1" w:styleId="formul4">
    <w:name w:val="formul_4"/>
    <w:rsid w:val="00087EE9"/>
    <w:pPr>
      <w:widowControl w:val="0"/>
      <w:autoSpaceDE w:val="0"/>
      <w:autoSpaceDN w:val="0"/>
      <w:adjustRightInd w:val="0"/>
      <w:spacing w:after="0" w:line="240" w:lineRule="auto"/>
      <w:jc w:val="both"/>
    </w:pPr>
    <w:rPr>
      <w:rFonts w:ascii="Times New Roman" w:hAnsi="Times New Roman" w:cs="Times New Roman"/>
      <w:lang w:val="en-US" w:eastAsia="it-IT"/>
    </w:rPr>
  </w:style>
  <w:style w:type="paragraph" w:styleId="Testonotaapidipagina">
    <w:name w:val="footnote text"/>
    <w:basedOn w:val="Normale"/>
    <w:link w:val="TestonotaapidipaginaCarattere"/>
    <w:uiPriority w:val="99"/>
    <w:semiHidden/>
    <w:rsid w:val="00087EE9"/>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087EE9"/>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087EE9"/>
    <w:rPr>
      <w:rFonts w:cs="Times New Roman"/>
      <w:vertAlign w:val="superscript"/>
    </w:rPr>
  </w:style>
  <w:style w:type="paragraph" w:styleId="Testodelblocco">
    <w:name w:val="Block Text"/>
    <w:basedOn w:val="Normale"/>
    <w:uiPriority w:val="99"/>
    <w:rsid w:val="00FD31FF"/>
    <w:pPr>
      <w:autoSpaceDE w:val="0"/>
      <w:autoSpaceDN w:val="0"/>
      <w:ind w:left="284" w:right="333"/>
      <w:jc w:val="both"/>
    </w:pPr>
    <w:rPr>
      <w:i/>
      <w:iCs/>
    </w:rPr>
  </w:style>
  <w:style w:type="paragraph" w:styleId="Corpodeltesto2">
    <w:name w:val="Body Text 2"/>
    <w:basedOn w:val="Normale"/>
    <w:link w:val="Corpodeltesto2Carattere"/>
    <w:uiPriority w:val="99"/>
    <w:rsid w:val="00D1250E"/>
    <w:pPr>
      <w:autoSpaceDE w:val="0"/>
      <w:autoSpaceDN w:val="0"/>
      <w:jc w:val="both"/>
    </w:pPr>
    <w:rPr>
      <w:rFonts w:ascii="Arial Narrow" w:hAnsi="Arial Narrow" w:cs="Arial Narrow"/>
      <w:sz w:val="22"/>
      <w:szCs w:val="22"/>
    </w:rPr>
  </w:style>
  <w:style w:type="character" w:customStyle="1" w:styleId="Corpodeltesto2Carattere">
    <w:name w:val="Corpo del testo 2 Carattere"/>
    <w:basedOn w:val="Carpredefinitoparagrafo"/>
    <w:link w:val="Corpodeltesto2"/>
    <w:uiPriority w:val="99"/>
    <w:locked/>
    <w:rsid w:val="00D1250E"/>
    <w:rPr>
      <w:rFonts w:ascii="Arial Narrow" w:hAnsi="Arial Narrow" w:cs="Arial Narrow"/>
      <w:lang w:val="x-none" w:eastAsia="it-IT"/>
    </w:rPr>
  </w:style>
  <w:style w:type="paragraph" w:styleId="Corpotesto">
    <w:name w:val="Body Text"/>
    <w:basedOn w:val="Normale"/>
    <w:link w:val="CorpotestoCarattere"/>
    <w:uiPriority w:val="99"/>
    <w:unhideWhenUsed/>
    <w:rsid w:val="00D1250E"/>
    <w:pPr>
      <w:spacing w:after="120"/>
    </w:pPr>
  </w:style>
  <w:style w:type="character" w:customStyle="1" w:styleId="CorpotestoCarattere">
    <w:name w:val="Corpo testo Carattere"/>
    <w:basedOn w:val="Carpredefinitoparagrafo"/>
    <w:link w:val="Corpotesto"/>
    <w:uiPriority w:val="99"/>
    <w:locked/>
    <w:rsid w:val="00D1250E"/>
    <w:rPr>
      <w:rFonts w:ascii="Times New Roman" w:hAnsi="Times New Roman" w:cs="Times New Roman"/>
      <w:sz w:val="24"/>
      <w:szCs w:val="24"/>
      <w:lang w:val="x-none" w:eastAsia="it-IT"/>
    </w:rPr>
  </w:style>
  <w:style w:type="paragraph" w:styleId="Testofumetto">
    <w:name w:val="Balloon Text"/>
    <w:basedOn w:val="Normale"/>
    <w:link w:val="TestofumettoCarattere"/>
    <w:uiPriority w:val="99"/>
    <w:semiHidden/>
    <w:unhideWhenUsed/>
    <w:rsid w:val="000931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93169"/>
    <w:rPr>
      <w:rFonts w:ascii="Tahoma" w:hAnsi="Tahoma" w:cs="Tahoma"/>
      <w:sz w:val="16"/>
      <w:szCs w:val="16"/>
      <w:lang w:val="x-none" w:eastAsia="it-IT"/>
    </w:rPr>
  </w:style>
  <w:style w:type="paragraph" w:styleId="Intestazione">
    <w:name w:val="header"/>
    <w:basedOn w:val="Normale"/>
    <w:link w:val="IntestazioneCarattere"/>
    <w:uiPriority w:val="99"/>
    <w:unhideWhenUsed/>
    <w:rsid w:val="002841A6"/>
    <w:pPr>
      <w:tabs>
        <w:tab w:val="center" w:pos="4819"/>
        <w:tab w:val="right" w:pos="9638"/>
      </w:tabs>
    </w:pPr>
  </w:style>
  <w:style w:type="character" w:customStyle="1" w:styleId="IntestazioneCarattere">
    <w:name w:val="Intestazione Carattere"/>
    <w:basedOn w:val="Carpredefinitoparagrafo"/>
    <w:link w:val="Intestazione"/>
    <w:uiPriority w:val="99"/>
    <w:locked/>
    <w:rsid w:val="002841A6"/>
    <w:rPr>
      <w:rFonts w:ascii="Times New Roman" w:hAnsi="Times New Roman" w:cs="Times New Roman"/>
      <w:sz w:val="24"/>
      <w:szCs w:val="24"/>
      <w:lang w:val="x-none" w:eastAsia="it-IT"/>
    </w:rPr>
  </w:style>
  <w:style w:type="paragraph" w:styleId="Pidipagina">
    <w:name w:val="footer"/>
    <w:basedOn w:val="Normale"/>
    <w:link w:val="PidipaginaCarattere"/>
    <w:uiPriority w:val="99"/>
    <w:unhideWhenUsed/>
    <w:rsid w:val="002841A6"/>
    <w:pPr>
      <w:tabs>
        <w:tab w:val="center" w:pos="4819"/>
        <w:tab w:val="right" w:pos="9638"/>
      </w:tabs>
    </w:pPr>
  </w:style>
  <w:style w:type="character" w:customStyle="1" w:styleId="PidipaginaCarattere">
    <w:name w:val="Piè di pagina Carattere"/>
    <w:basedOn w:val="Carpredefinitoparagrafo"/>
    <w:link w:val="Pidipagina"/>
    <w:uiPriority w:val="99"/>
    <w:locked/>
    <w:rsid w:val="002841A6"/>
    <w:rPr>
      <w:rFonts w:ascii="Times New Roman" w:hAnsi="Times New Roman" w:cs="Times New Roman"/>
      <w:sz w:val="24"/>
      <w:szCs w:val="24"/>
      <w:lang w:val="x-none" w:eastAsia="it-IT"/>
    </w:rPr>
  </w:style>
  <w:style w:type="character" w:styleId="Collegamentoipertestuale">
    <w:name w:val="Hyperlink"/>
    <w:basedOn w:val="Carpredefinitoparagrafo"/>
    <w:uiPriority w:val="99"/>
    <w:unhideWhenUsed/>
    <w:rsid w:val="00BB42C2"/>
    <w:rPr>
      <w:color w:val="0000FF" w:themeColor="hyperlink"/>
      <w:u w:val="single"/>
    </w:rPr>
  </w:style>
  <w:style w:type="character" w:customStyle="1" w:styleId="valore">
    <w:name w:val="valore"/>
    <w:basedOn w:val="Carpredefinitoparagrafo"/>
    <w:rsid w:val="0018552B"/>
  </w:style>
  <w:style w:type="character" w:customStyle="1" w:styleId="Mention">
    <w:name w:val="Mention"/>
    <w:basedOn w:val="Carpredefinitoparagrafo"/>
    <w:uiPriority w:val="99"/>
    <w:semiHidden/>
    <w:unhideWhenUsed/>
    <w:rsid w:val="002E29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0728">
      <w:bodyDiv w:val="1"/>
      <w:marLeft w:val="0"/>
      <w:marRight w:val="0"/>
      <w:marTop w:val="0"/>
      <w:marBottom w:val="0"/>
      <w:divBdr>
        <w:top w:val="none" w:sz="0" w:space="0" w:color="auto"/>
        <w:left w:val="none" w:sz="0" w:space="0" w:color="auto"/>
        <w:bottom w:val="none" w:sz="0" w:space="0" w:color="auto"/>
        <w:right w:val="none" w:sz="0" w:space="0" w:color="auto"/>
      </w:divBdr>
    </w:div>
    <w:div w:id="324170991">
      <w:bodyDiv w:val="1"/>
      <w:marLeft w:val="0"/>
      <w:marRight w:val="0"/>
      <w:marTop w:val="0"/>
      <w:marBottom w:val="0"/>
      <w:divBdr>
        <w:top w:val="none" w:sz="0" w:space="0" w:color="auto"/>
        <w:left w:val="none" w:sz="0" w:space="0" w:color="auto"/>
        <w:bottom w:val="none" w:sz="0" w:space="0" w:color="auto"/>
        <w:right w:val="none" w:sz="0" w:space="0" w:color="auto"/>
      </w:divBdr>
    </w:div>
    <w:div w:id="424544713">
      <w:bodyDiv w:val="1"/>
      <w:marLeft w:val="0"/>
      <w:marRight w:val="0"/>
      <w:marTop w:val="0"/>
      <w:marBottom w:val="0"/>
      <w:divBdr>
        <w:top w:val="none" w:sz="0" w:space="0" w:color="auto"/>
        <w:left w:val="none" w:sz="0" w:space="0" w:color="auto"/>
        <w:bottom w:val="none" w:sz="0" w:space="0" w:color="auto"/>
        <w:right w:val="none" w:sz="0" w:space="0" w:color="auto"/>
      </w:divBdr>
    </w:div>
    <w:div w:id="689336647">
      <w:bodyDiv w:val="1"/>
      <w:marLeft w:val="0"/>
      <w:marRight w:val="0"/>
      <w:marTop w:val="0"/>
      <w:marBottom w:val="0"/>
      <w:divBdr>
        <w:top w:val="none" w:sz="0" w:space="0" w:color="auto"/>
        <w:left w:val="none" w:sz="0" w:space="0" w:color="auto"/>
        <w:bottom w:val="none" w:sz="0" w:space="0" w:color="auto"/>
        <w:right w:val="none" w:sz="0" w:space="0" w:color="auto"/>
      </w:divBdr>
    </w:div>
    <w:div w:id="1177429190">
      <w:bodyDiv w:val="1"/>
      <w:marLeft w:val="0"/>
      <w:marRight w:val="0"/>
      <w:marTop w:val="0"/>
      <w:marBottom w:val="0"/>
      <w:divBdr>
        <w:top w:val="none" w:sz="0" w:space="0" w:color="auto"/>
        <w:left w:val="none" w:sz="0" w:space="0" w:color="auto"/>
        <w:bottom w:val="none" w:sz="0" w:space="0" w:color="auto"/>
        <w:right w:val="none" w:sz="0" w:space="0" w:color="auto"/>
      </w:divBdr>
    </w:div>
    <w:div w:id="1540513266">
      <w:bodyDiv w:val="1"/>
      <w:marLeft w:val="0"/>
      <w:marRight w:val="0"/>
      <w:marTop w:val="0"/>
      <w:marBottom w:val="0"/>
      <w:divBdr>
        <w:top w:val="none" w:sz="0" w:space="0" w:color="auto"/>
        <w:left w:val="none" w:sz="0" w:space="0" w:color="auto"/>
        <w:bottom w:val="none" w:sz="0" w:space="0" w:color="auto"/>
        <w:right w:val="none" w:sz="0" w:space="0" w:color="auto"/>
      </w:divBdr>
    </w:div>
    <w:div w:id="1717314311">
      <w:bodyDiv w:val="1"/>
      <w:marLeft w:val="0"/>
      <w:marRight w:val="0"/>
      <w:marTop w:val="0"/>
      <w:marBottom w:val="0"/>
      <w:divBdr>
        <w:top w:val="none" w:sz="0" w:space="0" w:color="auto"/>
        <w:left w:val="none" w:sz="0" w:space="0" w:color="auto"/>
        <w:bottom w:val="none" w:sz="0" w:space="0" w:color="auto"/>
        <w:right w:val="none" w:sz="0" w:space="0" w:color="auto"/>
      </w:divBdr>
    </w:div>
    <w:div w:id="1900432589">
      <w:bodyDiv w:val="1"/>
      <w:marLeft w:val="0"/>
      <w:marRight w:val="0"/>
      <w:marTop w:val="0"/>
      <w:marBottom w:val="0"/>
      <w:divBdr>
        <w:top w:val="none" w:sz="0" w:space="0" w:color="auto"/>
        <w:left w:val="none" w:sz="0" w:space="0" w:color="auto"/>
        <w:bottom w:val="none" w:sz="0" w:space="0" w:color="auto"/>
        <w:right w:val="none" w:sz="0" w:space="0" w:color="auto"/>
      </w:divBdr>
    </w:div>
    <w:div w:id="19863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AF2E27-4B0B-4621-896D-56141C67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2453</Words>
  <Characters>13988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dc:creator>
  <cp:lastModifiedBy>Maria Elena Ballarini</cp:lastModifiedBy>
  <cp:revision>5</cp:revision>
  <cp:lastPrinted>2018-10-19T08:41:00Z</cp:lastPrinted>
  <dcterms:created xsi:type="dcterms:W3CDTF">2019-06-10T15:03:00Z</dcterms:created>
  <dcterms:modified xsi:type="dcterms:W3CDTF">2019-06-24T16:14:00Z</dcterms:modified>
</cp:coreProperties>
</file>